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both"/>
              <w:rPr>
                <w:caps w:val="false"/>
                <w:smallCaps w:val="false"/>
              </w:rPr>
            </w:pPr>
            <w:bookmarkStart w:id="3" w:name="xdx_900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E_edei--DocumentPeriodEndDate_c202"/>
      <w:bookmarkEnd w:id="4"/>
      <w:r>
        <w:rPr>
          <w:rFonts w:ascii="Times New Roman;Times;Serif" w:hAnsi="Times New Roman;Times;Serif"/>
          <w:b/>
          <w:i w:val="false"/>
          <w:caps w:val="false"/>
          <w:smallCaps w:val="false"/>
          <w:sz w:val="20"/>
        </w:rPr>
        <w:t xml:space="preserve">June 30, </w:t>
      </w:r>
      <w:bookmarkStart w:id="5" w:name="xdx_905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6" w:name="xdx_905_edei--DocumentTransitionReport_c"/>
            <w:bookmarkEnd w:id="6"/>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8_edei--EntityFileNumber_c20260101"/>
      <w:bookmarkEnd w:id="7"/>
      <w:r>
        <w:rPr>
          <w:rFonts w:ascii="Times New Roman;Times;Serif" w:hAnsi="Times New Roman;Times;Serif"/>
          <w:b/>
          <w:i w:val="false"/>
          <w:caps w:val="false"/>
          <w:smallCaps w:val="false"/>
          <w:sz w:val="20"/>
        </w:rPr>
        <w:t>001-35731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RegistrantName_c2026"/>
      <w:bookmarkEnd w:id="8"/>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F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D_edei--EntityTaxIdentificationNum"/>
            <w:bookmarkEnd w:id="10"/>
            <w:r>
              <w:rPr>
                <w:rFonts w:ascii="Times New Roman;Times;Serif" w:hAnsi="Times New Roman;Times;Serif"/>
                <w:b/>
                <w:i w:val="false"/>
                <w:caps w:val="false"/>
                <w:smallCaps w:val="false"/>
                <w:sz w:val="20"/>
              </w:rPr>
              <w:t>26-2123838</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D_edei--EntityAddressAddressLine1_"/>
      <w:bookmarkEnd w:id="11"/>
      <w:r>
        <w:rPr>
          <w:rFonts w:ascii="Times New Roman;Times;Serif" w:hAnsi="Times New Roman;Times;Serif"/>
          <w:b/>
          <w:i w:val="false"/>
          <w:caps w:val="false"/>
          <w:smallCaps w:val="false"/>
          <w:sz w:val="20"/>
        </w:rPr>
        <w:t>6303 Waterford District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9_edei--EntityAddressAddressLine2_"/>
      <w:bookmarkEnd w:id="12"/>
      <w:r>
        <w:rPr>
          <w:rFonts w:ascii="Times New Roman;Times;Serif" w:hAnsi="Times New Roman;Times;Serif"/>
          <w:b/>
          <w:i w:val="false"/>
          <w:caps w:val="false"/>
          <w:smallCaps w:val="false"/>
          <w:sz w:val="20"/>
        </w:rPr>
        <w:t>Suite 215</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E_edei--EntityAddressCityOrTown_c2"/>
      <w:bookmarkEnd w:id="13"/>
      <w:r>
        <w:rPr>
          <w:rFonts w:ascii="Times New Roman;Times;Serif" w:hAnsi="Times New Roman;Times;Serif"/>
          <w:b/>
          <w:i w:val="false"/>
          <w:caps w:val="false"/>
          <w:smallCaps w:val="false"/>
          <w:sz w:val="20"/>
        </w:rPr>
        <w:t xml:space="preserve">Miami, </w:t>
      </w:r>
      <w:bookmarkStart w:id="14" w:name="xdx_900_edei--EntityAddressStateOrProvin"/>
      <w:bookmarkEnd w:id="14"/>
      <w:r>
        <w:rPr>
          <w:rFonts w:ascii="Times New Roman;Times;Serif" w:hAnsi="Times New Roman;Times;Serif"/>
          <w:b/>
          <w:i w:val="false"/>
          <w:caps w:val="false"/>
          <w:smallCaps w:val="false"/>
          <w:sz w:val="20"/>
        </w:rPr>
        <w:t xml:space="preserve">Florida </w:t>
      </w:r>
      <w:bookmarkStart w:id="15" w:name="xdx_90D_edei--EntityAddressPostalZipCode"/>
      <w:bookmarkEnd w:id="15"/>
      <w:r>
        <w:rPr>
          <w:rFonts w:ascii="Times New Roman;Times;Serif" w:hAnsi="Times New Roman;Times;Serif"/>
          <w:b/>
          <w:i w:val="false"/>
          <w:caps w:val="false"/>
          <w:smallCaps w:val="false"/>
          <w:sz w:val="20"/>
        </w:rPr>
        <w:t>33126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B_edei--CityAreaCode_c20260101__20"/>
      <w:bookmarkEnd w:id="16"/>
      <w:r>
        <w:rPr>
          <w:rFonts w:ascii="Times New Roman;Times;Serif" w:hAnsi="Times New Roman;Times;Serif"/>
          <w:b/>
          <w:i w:val="false"/>
          <w:caps w:val="false"/>
          <w:smallCaps w:val="false"/>
          <w:sz w:val="20"/>
        </w:rPr>
        <w:t xml:space="preserve">(888) </w:t>
      </w:r>
      <w:bookmarkStart w:id="17" w:name="xdx_907_edei--LocalPhoneNumber_c20260101"/>
      <w:bookmarkEnd w:id="17"/>
      <w:r>
        <w:rPr>
          <w:rFonts w:ascii="Times New Roman;Times;Serif" w:hAnsi="Times New Roman;Times;Serif"/>
          <w:b/>
          <w:i w:val="false"/>
          <w:caps w:val="false"/>
          <w:smallCaps w:val="false"/>
          <w:sz w:val="20"/>
        </w:rPr>
        <w:t>776-6804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8" w:name="xdx_90E_edei--EntityCurrentReportingStat"/>
      <w:bookmarkEnd w:id="1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19" w:name="xdx_908_edei--EntityInteractiveDataCurre"/>
      <w:bookmarkEnd w:id="19"/>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EntityFilerCategory_c20260"/>
            <w:bookmarkEnd w:id="20"/>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1" w:name="xdx_900_edei--EntitySmallBusiness_c20260"/>
            <w:bookmarkEnd w:id="21"/>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3" w:name="xdx_904_edei--EntityShellCompany_dbF_c20"/>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0_edei--Security12bTitle_c20260101"/>
            <w:bookmarkEnd w:id="24"/>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1_edei--TradingSymbol_c20260101__2"/>
            <w:bookmarkEnd w:id="25"/>
            <w:r>
              <w:rPr>
                <w:rFonts w:ascii="Times New Roman;Times;Serif" w:hAnsi="Times New Roman;Times;Serif"/>
                <w:b w:val="false"/>
                <w:i w:val="false"/>
                <w:caps w:val="false"/>
                <w:smallCaps w:val="false"/>
                <w:sz w:val="20"/>
              </w:rPr>
              <w:t>NSPR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2_edei--SecurityExchangeName_c2026"/>
            <w:bookmarkEnd w:id="26"/>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registrant’s common stock, $</w:t>
      </w:r>
      <w:bookmarkStart w:id="27" w:name="xdx_90C_edei--EntityListingParValuePerSh"/>
      <w:bookmarkEnd w:id="27"/>
      <w:r>
        <w:rPr>
          <w:rFonts w:ascii="Times New Roman;Times;Serif" w:hAnsi="Times New Roman;Times;Serif"/>
          <w:b w:val="false"/>
          <w:i w:val="false"/>
          <w:caps w:val="false"/>
          <w:smallCaps w:val="false"/>
          <w:sz w:val="20"/>
        </w:rPr>
        <w:t xml:space="preserve">0.0001 par value, outstanding as of August 14, 2026: </w:t>
      </w:r>
      <w:bookmarkStart w:id="28" w:name="xdx_901_edei--EntityCommonStockSharesOut"/>
      <w:bookmarkEnd w:id="28"/>
      <w:r>
        <w:rPr>
          <w:rFonts w:ascii="Times New Roman;Times;Serif" w:hAnsi="Times New Roman;Times;Serif"/>
          <w:b w:val="false"/>
          <w:i w:val="false"/>
          <w:caps w:val="false"/>
          <w:smallCaps w:val="false"/>
          <w:sz w:val="20"/>
        </w:rPr>
        <w:t>46,489,118</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AND FOR THE QUARTER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725"/>
        <w:gridCol w:w="935"/>
      </w:tblGrid>
      <w:tr>
        <w:trPr/>
        <w:tc>
          <w:tcPr>
            <w:tcW w:w="6725"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72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FINANCIAL STATEMENTS (UNAUDITED):</w:t>
            </w:r>
          </w:p>
        </w:tc>
        <w:tc>
          <w:tcPr>
            <w:tcW w:w="93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725" w:type="dxa"/>
            <w:tcBorders/>
            <w:shd w:fill="FFFFFF" w:val="clear"/>
            <w:vAlign w:val="center"/>
          </w:tcPr>
          <w:p>
            <w:pPr>
              <w:pStyle w:val="TableContents"/>
              <w:bidi w:val="0"/>
              <w:spacing w:before="0" w:after="283"/>
              <w:jc w:val="left"/>
              <w:rPr/>
            </w:pPr>
            <w:hyperlink w:anchor="FIN_001">
              <w:r>
                <w:rPr>
                  <w:rStyle w:val="InternetLink"/>
                  <w:rFonts w:ascii="Times New Roman;Times;Serif" w:hAnsi="Times New Roman;Times;Serif"/>
                  <w:b w:val="false"/>
                  <w:i w:val="false"/>
                  <w:caps w:val="false"/>
                  <w:smallCaps w:val="false"/>
                  <w:sz w:val="20"/>
                </w:rPr>
                <w:t>Condensed Consolidated Balance Sheets</w:t>
              </w:r>
            </w:hyperlink>
          </w:p>
        </w:tc>
        <w:tc>
          <w:tcPr>
            <w:tcW w:w="9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F-2 - F-3</w:t>
            </w:r>
          </w:p>
        </w:tc>
      </w:tr>
      <w:tr>
        <w:trPr/>
        <w:tc>
          <w:tcPr>
            <w:tcW w:w="6725" w:type="dxa"/>
            <w:tcBorders/>
            <w:shd w:fill="CCEEFF" w:val="clear"/>
            <w:vAlign w:val="center"/>
          </w:tcPr>
          <w:p>
            <w:pPr>
              <w:pStyle w:val="TableContents"/>
              <w:bidi w:val="0"/>
              <w:spacing w:before="0" w:after="283"/>
              <w:jc w:val="left"/>
              <w:rPr/>
            </w:pPr>
            <w:hyperlink w:anchor="FIN_002">
              <w:r>
                <w:rPr>
                  <w:rStyle w:val="InternetLink"/>
                  <w:rFonts w:ascii="Times New Roman;Times;Serif" w:hAnsi="Times New Roman;Times;Serif"/>
                  <w:b w:val="false"/>
                  <w:i w:val="false"/>
                  <w:caps w:val="false"/>
                  <w:smallCaps w:val="false"/>
                  <w:sz w:val="20"/>
                </w:rPr>
                <w:t>Condensed Consolidated Statements of Operations</w:t>
              </w:r>
            </w:hyperlink>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6725" w:type="dxa"/>
            <w:tcBorders/>
            <w:shd w:fill="FFFFFF" w:val="clear"/>
            <w:vAlign w:val="center"/>
          </w:tcPr>
          <w:p>
            <w:pPr>
              <w:pStyle w:val="TableContents"/>
              <w:bidi w:val="0"/>
              <w:spacing w:before="0" w:after="283"/>
              <w:jc w:val="left"/>
              <w:rPr/>
            </w:pPr>
            <w:hyperlink w:anchor="FIN_003">
              <w:r>
                <w:rPr>
                  <w:rStyle w:val="InternetLink"/>
                  <w:rFonts w:ascii="Times New Roman;Times;Serif" w:hAnsi="Times New Roman;Times;Serif"/>
                  <w:b w:val="false"/>
                  <w:i w:val="false"/>
                  <w:caps w:val="false"/>
                  <w:smallCaps w:val="false"/>
                  <w:sz w:val="20"/>
                </w:rPr>
                <w:t xml:space="preserve">Condensed Consolidated Statements of Changes in Equity </w:t>
              </w:r>
            </w:hyperlink>
          </w:p>
        </w:tc>
        <w:tc>
          <w:tcPr>
            <w:tcW w:w="9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F-5 - F-8</w:t>
            </w:r>
          </w:p>
        </w:tc>
      </w:tr>
      <w:tr>
        <w:trPr/>
        <w:tc>
          <w:tcPr>
            <w:tcW w:w="6725" w:type="dxa"/>
            <w:tcBorders/>
            <w:shd w:fill="CCEEFF" w:val="clear"/>
            <w:vAlign w:val="center"/>
          </w:tcPr>
          <w:p>
            <w:pPr>
              <w:pStyle w:val="TableContents"/>
              <w:bidi w:val="0"/>
              <w:spacing w:before="0" w:after="283"/>
              <w:jc w:val="left"/>
              <w:rPr/>
            </w:pPr>
            <w:hyperlink w:anchor="FIN_004">
              <w:r>
                <w:rPr>
                  <w:rStyle w:val="InternetLink"/>
                  <w:rFonts w:ascii="Times New Roman;Times;Serif" w:hAnsi="Times New Roman;Times;Serif"/>
                  <w:b w:val="false"/>
                  <w:i w:val="false"/>
                  <w:caps w:val="false"/>
                  <w:smallCaps w:val="false"/>
                  <w:sz w:val="20"/>
                </w:rPr>
                <w:t>Condensed Consolidated Statements of Cash Flows</w:t>
              </w:r>
            </w:hyperlink>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F-9 </w:t>
            </w:r>
          </w:p>
        </w:tc>
      </w:tr>
      <w:tr>
        <w:trPr/>
        <w:tc>
          <w:tcPr>
            <w:tcW w:w="6725" w:type="dxa"/>
            <w:tcBorders/>
            <w:shd w:fill="FFFFFF" w:val="clear"/>
            <w:vAlign w:val="center"/>
          </w:tcPr>
          <w:p>
            <w:pPr>
              <w:pStyle w:val="TableContents"/>
              <w:bidi w:val="0"/>
              <w:spacing w:before="0" w:after="283"/>
              <w:jc w:val="left"/>
              <w:rPr/>
            </w:pPr>
            <w:hyperlink w:anchor="FIN_005">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9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F-10 - F-18</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FIN_001"/>
      <w:bookmarkEnd w:id="29"/>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 w:name="xdx_304_111_pn3n3_zzOHrEtLp679"/>
      <w:bookmarkStart w:id="31" w:name="xdx_304_111_pn3n3_zzOHrEtLp679"/>
      <w:bookmarkEnd w:id="31"/>
    </w:p>
    <w:tbl>
      <w:tblPr>
        <w:tblW w:w="7393" w:type="dxa"/>
        <w:jc w:val="left"/>
        <w:tblInd w:w="0" w:type="dxa"/>
        <w:tblLayout w:type="fixed"/>
        <w:tblCellMar>
          <w:top w:w="0" w:type="dxa"/>
          <w:left w:w="0" w:type="dxa"/>
          <w:bottom w:w="0" w:type="dxa"/>
          <w:right w:w="0" w:type="dxa"/>
        </w:tblCellMar>
      </w:tblPr>
      <w:tblGrid>
        <w:gridCol w:w="4850"/>
        <w:gridCol w:w="60"/>
        <w:gridCol w:w="149"/>
        <w:gridCol w:w="725"/>
        <w:gridCol w:w="60"/>
        <w:gridCol w:w="60"/>
        <w:gridCol w:w="241"/>
        <w:gridCol w:w="1173"/>
        <w:gridCol w:w="75"/>
      </w:tblGrid>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2" w:name="xdx_491_20260630_z9nVm5hwddig"/>
            <w:bookmarkEnd w:id="32"/>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 w:name="xdx_49F_20251231_z3Z090tyx4g3"/>
            <w:bookmarkEnd w:id="33"/>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34" w:name="xdx_40E_eus-gaap--AssetsAbstract_iB"/>
            <w:bookmarkEnd w:id="34"/>
          </w:p>
        </w:tc>
      </w:tr>
      <w:tr>
        <w:trPr/>
        <w:tc>
          <w:tcPr>
            <w:tcW w:w="485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5" w:name="xdx_402_eus-gaap--AssetsCurrentAbstract_"/>
            <w:bookmarkEnd w:id="35"/>
          </w:p>
        </w:tc>
      </w:tr>
      <w:tr>
        <w:trPr/>
        <w:tc>
          <w:tcPr>
            <w:tcW w:w="485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6" w:name="xdx_402_eus-gaap--CashAndCashEquivalents"/>
            <w:bookmarkEnd w:id="36"/>
          </w:p>
        </w:tc>
      </w:tr>
      <w:tr>
        <w:trPr/>
        <w:tc>
          <w:tcPr>
            <w:tcW w:w="485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8,939</w:t>
            </w:r>
          </w:p>
        </w:tc>
        <w:tc>
          <w:tcPr>
            <w:tcW w:w="75" w:type="dxa"/>
            <w:tcBorders/>
            <w:shd w:fill="CCEEFF" w:val="clear"/>
            <w:vAlign w:val="center"/>
          </w:tcPr>
          <w:p>
            <w:pPr>
              <w:pStyle w:val="TableContents"/>
              <w:bidi w:val="0"/>
              <w:spacing w:before="0" w:after="283"/>
              <w:jc w:val="left"/>
              <w:rPr/>
            </w:pPr>
            <w:r>
              <w:rPr/>
              <w:t> </w:t>
            </w:r>
            <w:bookmarkStart w:id="37" w:name="xdx_40E_eus-gaap--MarketableSecuritiesCu"/>
            <w:bookmarkEnd w:id="37"/>
          </w:p>
        </w:tc>
      </w:tr>
      <w:tr>
        <w:trPr/>
        <w:tc>
          <w:tcPr>
            <w:tcW w:w="4850"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15,272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45,272</w:t>
            </w:r>
          </w:p>
        </w:tc>
        <w:tc>
          <w:tcPr>
            <w:tcW w:w="75" w:type="dxa"/>
            <w:tcBorders/>
            <w:shd w:fill="FFFFFF" w:val="clear"/>
            <w:vAlign w:val="center"/>
          </w:tcPr>
          <w:p>
            <w:pPr>
              <w:pStyle w:val="TableContents"/>
              <w:bidi w:val="0"/>
              <w:spacing w:before="0" w:after="283"/>
              <w:jc w:val="left"/>
              <w:rPr/>
            </w:pPr>
            <w:r>
              <w:rPr/>
              <w:t> </w:t>
            </w:r>
            <w:bookmarkStart w:id="38" w:name="xdx_407_eus-gaap--AccountsReceivableNetC"/>
            <w:bookmarkEnd w:id="38"/>
          </w:p>
        </w:tc>
      </w:tr>
      <w:tr>
        <w:trPr/>
        <w:tc>
          <w:tcPr>
            <w:tcW w:w="48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9" w:name="xdx_40B_eus-gaap--AccountsReceivableNetC"/>
            <w:bookmarkEnd w:id="39"/>
          </w:p>
        </w:tc>
      </w:tr>
      <w:tr>
        <w:trPr/>
        <w:tc>
          <w:tcPr>
            <w:tcW w:w="4850" w:type="dxa"/>
            <w:tcBorders/>
            <w:shd w:fill="FFFFFF" w:val="clear"/>
            <w:vAlign w:val="center"/>
          </w:tcPr>
          <w:p>
            <w:pPr>
              <w:pStyle w:val="TableContents"/>
              <w:bidi w:val="0"/>
              <w:spacing w:before="0" w:after="283"/>
              <w:jc w:val="left"/>
              <w:rPr/>
            </w:pPr>
            <w:r>
              <w:rPr/>
              <w:t>Trade,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2,168</w:t>
            </w:r>
          </w:p>
        </w:tc>
        <w:tc>
          <w:tcPr>
            <w:tcW w:w="75" w:type="dxa"/>
            <w:tcBorders/>
            <w:shd w:fill="FFFFFF" w:val="clear"/>
            <w:vAlign w:val="center"/>
          </w:tcPr>
          <w:p>
            <w:pPr>
              <w:pStyle w:val="TableContents"/>
              <w:bidi w:val="0"/>
              <w:spacing w:before="0" w:after="283"/>
              <w:jc w:val="left"/>
              <w:rPr/>
            </w:pPr>
            <w:r>
              <w:rPr/>
              <w:t> </w:t>
            </w:r>
            <w:bookmarkStart w:id="40" w:name="xdx_408_eus-gaap--NontradeReceivablesCur"/>
            <w:bookmarkEnd w:id="40"/>
          </w:p>
        </w:tc>
      </w:tr>
      <w:tr>
        <w:trPr/>
        <w:tc>
          <w:tcPr>
            <w:tcW w:w="485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400</w:t>
            </w:r>
          </w:p>
        </w:tc>
        <w:tc>
          <w:tcPr>
            <w:tcW w:w="75" w:type="dxa"/>
            <w:tcBorders/>
            <w:shd w:fill="CCEEFF" w:val="clear"/>
            <w:vAlign w:val="center"/>
          </w:tcPr>
          <w:p>
            <w:pPr>
              <w:pStyle w:val="TableContents"/>
              <w:bidi w:val="0"/>
              <w:spacing w:before="0" w:after="283"/>
              <w:jc w:val="left"/>
              <w:rPr/>
            </w:pPr>
            <w:r>
              <w:rPr/>
              <w:t> </w:t>
            </w:r>
            <w:bookmarkStart w:id="41" w:name="xdx_402_eus-gaap--PrepaidExpenseCurrent_"/>
            <w:bookmarkEnd w:id="41"/>
          </w:p>
        </w:tc>
      </w:tr>
      <w:tr>
        <w:trPr/>
        <w:tc>
          <w:tcPr>
            <w:tcW w:w="485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1,296</w:t>
            </w:r>
          </w:p>
        </w:tc>
        <w:tc>
          <w:tcPr>
            <w:tcW w:w="75" w:type="dxa"/>
            <w:tcBorders/>
            <w:shd w:fill="FFFFFF" w:val="clear"/>
            <w:vAlign w:val="center"/>
          </w:tcPr>
          <w:p>
            <w:pPr>
              <w:pStyle w:val="TableContents"/>
              <w:bidi w:val="0"/>
              <w:spacing w:before="0" w:after="283"/>
              <w:jc w:val="left"/>
              <w:rPr/>
            </w:pPr>
            <w:r>
              <w:rPr/>
              <w:t> </w:t>
            </w:r>
            <w:bookmarkStart w:id="42" w:name="xdx_401_eus-gaap--InventoryNet_i02I_maAC"/>
            <w:bookmarkEnd w:id="42"/>
          </w:p>
        </w:tc>
      </w:tr>
      <w:tr>
        <w:trPr/>
        <w:tc>
          <w:tcPr>
            <w:tcW w:w="485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2,701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3,396</w:t>
            </w:r>
          </w:p>
        </w:tc>
        <w:tc>
          <w:tcPr>
            <w:tcW w:w="75" w:type="dxa"/>
            <w:tcBorders/>
            <w:shd w:fill="CCEEFF" w:val="clear"/>
            <w:vAlign w:val="center"/>
          </w:tcPr>
          <w:p>
            <w:pPr>
              <w:pStyle w:val="TableContents"/>
              <w:bidi w:val="0"/>
              <w:spacing w:before="0" w:after="283"/>
              <w:jc w:val="left"/>
              <w:rPr/>
            </w:pPr>
            <w:r>
              <w:rPr/>
              <w:t> </w:t>
            </w:r>
            <w:bookmarkStart w:id="43" w:name="xdx_408_eus-gaap--AssetsCurrent_i02TI_mt"/>
            <w:bookmarkEnd w:id="43"/>
          </w:p>
        </w:tc>
      </w:tr>
      <w:tr>
        <w:trPr/>
        <w:tc>
          <w:tcPr>
            <w:tcW w:w="485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36,628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61,471</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4" w:name="xdx_40F_eus-gaap--AssetsNoncurrentAbstra"/>
            <w:bookmarkEnd w:id="44"/>
          </w:p>
        </w:tc>
      </w:tr>
      <w:tr>
        <w:trPr/>
        <w:tc>
          <w:tcPr>
            <w:tcW w:w="4850"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5" w:name="xdx_408_eus-gaap--DepositsAssetsNoncurre"/>
            <w:bookmarkEnd w:id="45"/>
          </w:p>
        </w:tc>
      </w:tr>
      <w:tr>
        <w:trPr/>
        <w:tc>
          <w:tcPr>
            <w:tcW w:w="4850" w:type="dxa"/>
            <w:tcBorders/>
            <w:shd w:fill="CCEEFF" w:val="clear"/>
            <w:vAlign w:val="center"/>
          </w:tcPr>
          <w:p>
            <w:pPr>
              <w:pStyle w:val="TableContents"/>
              <w:bidi w:val="0"/>
              <w:spacing w:before="0" w:after="283"/>
              <w:jc w:val="left"/>
              <w:rPr/>
            </w:pPr>
            <w:r>
              <w:rPr/>
              <w:t>Long term deposit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442</w:t>
            </w:r>
          </w:p>
        </w:tc>
        <w:tc>
          <w:tcPr>
            <w:tcW w:w="75" w:type="dxa"/>
            <w:tcBorders/>
            <w:shd w:fill="CCEEFF" w:val="clear"/>
            <w:vAlign w:val="center"/>
          </w:tcPr>
          <w:p>
            <w:pPr>
              <w:pStyle w:val="TableContents"/>
              <w:bidi w:val="0"/>
              <w:spacing w:before="0" w:after="283"/>
              <w:jc w:val="left"/>
              <w:rPr/>
            </w:pPr>
            <w:r>
              <w:rPr/>
              <w:t> </w:t>
            </w:r>
            <w:bookmarkStart w:id="46" w:name="xdx_406_eus-gaap--PropertyPlantAndEquipm"/>
            <w:bookmarkEnd w:id="46"/>
          </w:p>
        </w:tc>
      </w:tr>
      <w:tr>
        <w:trPr/>
        <w:tc>
          <w:tcPr>
            <w:tcW w:w="4850"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3,858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3,584</w:t>
            </w:r>
          </w:p>
        </w:tc>
        <w:tc>
          <w:tcPr>
            <w:tcW w:w="75" w:type="dxa"/>
            <w:tcBorders/>
            <w:shd w:fill="FFFFFF" w:val="clear"/>
            <w:vAlign w:val="center"/>
          </w:tcPr>
          <w:p>
            <w:pPr>
              <w:pStyle w:val="TableContents"/>
              <w:bidi w:val="0"/>
              <w:spacing w:before="0" w:after="283"/>
              <w:jc w:val="left"/>
              <w:rPr/>
            </w:pPr>
            <w:r>
              <w:rPr/>
              <w:t> </w:t>
            </w:r>
            <w:bookmarkStart w:id="47" w:name="xdx_406_eus-gaap--OperatingLeaseRightOfU"/>
            <w:bookmarkEnd w:id="47"/>
          </w:p>
        </w:tc>
      </w:tr>
      <w:tr>
        <w:trPr/>
        <w:tc>
          <w:tcPr>
            <w:tcW w:w="4850" w:type="dxa"/>
            <w:tcBorders/>
            <w:shd w:fill="CCEEFF" w:val="clear"/>
            <w:vAlign w:val="center"/>
          </w:tcPr>
          <w:p>
            <w:pPr>
              <w:pStyle w:val="TableContents"/>
              <w:bidi w:val="0"/>
              <w:spacing w:before="0" w:after="283"/>
              <w:jc w:val="left"/>
              <w:rPr/>
            </w:pPr>
            <w:r>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2,758</w:t>
            </w:r>
          </w:p>
        </w:tc>
        <w:tc>
          <w:tcPr>
            <w:tcW w:w="75" w:type="dxa"/>
            <w:tcBorders/>
            <w:shd w:fill="CCEEFF" w:val="clear"/>
            <w:vAlign w:val="center"/>
          </w:tcPr>
          <w:p>
            <w:pPr>
              <w:pStyle w:val="TableContents"/>
              <w:bidi w:val="0"/>
              <w:spacing w:before="0" w:after="283"/>
              <w:jc w:val="left"/>
              <w:rPr/>
            </w:pPr>
            <w:r>
              <w:rPr/>
              <w:t> </w:t>
            </w:r>
            <w:bookmarkStart w:id="48" w:name="xdx_40E_eus-gaap--DefinedBenefitPlanAsse"/>
            <w:bookmarkEnd w:id="48"/>
          </w:p>
        </w:tc>
      </w:tr>
      <w:tr>
        <w:trPr/>
        <w:tc>
          <w:tcPr>
            <w:tcW w:w="4850" w:type="dxa"/>
            <w:tcBorders/>
            <w:shd w:fill="FFFFFF" w:val="clear"/>
            <w:vAlign w:val="center"/>
          </w:tcPr>
          <w:p>
            <w:pPr>
              <w:pStyle w:val="TableContents"/>
              <w:bidi w:val="0"/>
              <w:spacing w:before="0" w:after="283"/>
              <w:jc w:val="left"/>
              <w:rPr/>
            </w:pPr>
            <w:r>
              <w:rPr/>
              <w:t>Fund in respect of employee rights upon retirement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1,277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1,149</w:t>
            </w:r>
          </w:p>
        </w:tc>
        <w:tc>
          <w:tcPr>
            <w:tcW w:w="75" w:type="dxa"/>
            <w:tcBorders/>
            <w:shd w:fill="FFFFFF" w:val="clear"/>
            <w:vAlign w:val="center"/>
          </w:tcPr>
          <w:p>
            <w:pPr>
              <w:pStyle w:val="TableContents"/>
              <w:bidi w:val="0"/>
              <w:spacing w:before="0" w:after="283"/>
              <w:jc w:val="left"/>
              <w:rPr/>
            </w:pPr>
            <w:r>
              <w:rPr/>
              <w:t> </w:t>
            </w:r>
            <w:bookmarkStart w:id="49" w:name="xdx_40E_eus-gaap--AssetsNoncurrent_i02TI"/>
            <w:bookmarkEnd w:id="49"/>
          </w:p>
        </w:tc>
      </w:tr>
      <w:tr>
        <w:trPr/>
        <w:tc>
          <w:tcPr>
            <w:tcW w:w="485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8,013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7,933</w:t>
            </w:r>
          </w:p>
        </w:tc>
        <w:tc>
          <w:tcPr>
            <w:tcW w:w="75" w:type="dxa"/>
            <w:tcBorders/>
            <w:shd w:fill="CCEEFF" w:val="clear"/>
            <w:vAlign w:val="center"/>
          </w:tcPr>
          <w:p>
            <w:pPr>
              <w:pStyle w:val="TableContents"/>
              <w:bidi w:val="0"/>
              <w:spacing w:before="0" w:after="283"/>
              <w:jc w:val="left"/>
              <w:rPr/>
            </w:pPr>
            <w:r>
              <w:rPr/>
              <w:t> </w:t>
            </w:r>
            <w:bookmarkStart w:id="50" w:name="xdx_40F_eus-gaap--Assets_i01TI_mtAzuok_z"/>
            <w:bookmarkEnd w:id="50"/>
          </w:p>
        </w:tc>
      </w:tr>
      <w:tr>
        <w:trPr/>
        <w:tc>
          <w:tcPr>
            <w:tcW w:w="485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pPr>
            <w:r>
              <w:rPr/>
              <w:t>44,641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69,404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9"/>
        <w:gridCol w:w="60"/>
        <w:gridCol w:w="140"/>
        <w:gridCol w:w="875"/>
        <w:gridCol w:w="95"/>
        <w:gridCol w:w="60"/>
        <w:gridCol w:w="157"/>
        <w:gridCol w:w="987"/>
        <w:gridCol w:w="112"/>
      </w:tblGrid>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51" w:name="xdx_40C_eus-gaap--LiabilitiesAndStockhol"/>
            <w:bookmarkEnd w:id="51"/>
          </w:p>
        </w:tc>
      </w:tr>
      <w:tr>
        <w:trPr/>
        <w:tc>
          <w:tcPr>
            <w:tcW w:w="7719" w:type="dxa"/>
            <w:tcBorders/>
            <w:shd w:fill="CCEEFF" w:val="clear"/>
            <w:vAlign w:val="center"/>
          </w:tcPr>
          <w:p>
            <w:pPr>
              <w:pStyle w:val="TableContents"/>
              <w:bidi w:val="0"/>
              <w:spacing w:before="0" w:after="283"/>
              <w:jc w:val="center"/>
              <w:rPr>
                <w:b/>
              </w:rPr>
            </w:pPr>
            <w:r>
              <w:rPr>
                <w:b/>
              </w:rPr>
              <w:t>LIABILITIES AND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2" w:name="xdx_409_eus-gaap--LiabilitiesCurrentAbst"/>
            <w:bookmarkEnd w:id="52"/>
          </w:p>
        </w:tc>
      </w:tr>
      <w:tr>
        <w:trPr/>
        <w:tc>
          <w:tcPr>
            <w:tcW w:w="7719"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3" w:name="xdx_40B_eus-gaap--AccountsPayableAndAccr"/>
            <w:bookmarkEnd w:id="53"/>
          </w:p>
        </w:tc>
      </w:tr>
      <w:tr>
        <w:trPr/>
        <w:tc>
          <w:tcPr>
            <w:tcW w:w="7719" w:type="dxa"/>
            <w:tcBorders/>
            <w:shd w:fill="FFFFFF" w:val="clear"/>
            <w:vAlign w:val="center"/>
          </w:tcPr>
          <w:p>
            <w:pPr>
              <w:pStyle w:val="TableContents"/>
              <w:bidi w:val="0"/>
              <w:spacing w:before="0" w:after="283"/>
              <w:jc w:val="left"/>
              <w:rPr/>
            </w:pPr>
            <w:r>
              <w:rPr/>
              <w:t>Accounts payable and accruals: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4" w:name="xdx_40E_eus-gaap--AccountsPayableTradeCu"/>
            <w:bookmarkEnd w:id="54"/>
          </w:p>
        </w:tc>
      </w:tr>
      <w:tr>
        <w:trPr/>
        <w:tc>
          <w:tcPr>
            <w:tcW w:w="7719" w:type="dxa"/>
            <w:tcBorders/>
            <w:shd w:fill="CCEEFF" w:val="clear"/>
            <w:vAlign w:val="center"/>
          </w:tcPr>
          <w:p>
            <w:pPr>
              <w:pStyle w:val="TableContents"/>
              <w:bidi w:val="0"/>
              <w:spacing w:before="0" w:after="283"/>
              <w:jc w:val="left"/>
              <w:rPr/>
            </w:pPr>
            <w:r>
              <w:rPr/>
              <w:t>Trade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1,255</w:t>
            </w:r>
          </w:p>
        </w:tc>
        <w:tc>
          <w:tcPr>
            <w:tcW w:w="112" w:type="dxa"/>
            <w:tcBorders/>
            <w:shd w:fill="CCEEFF" w:val="clear"/>
            <w:vAlign w:val="center"/>
          </w:tcPr>
          <w:p>
            <w:pPr>
              <w:pStyle w:val="TableContents"/>
              <w:bidi w:val="0"/>
              <w:spacing w:before="0" w:after="283"/>
              <w:jc w:val="left"/>
              <w:rPr/>
            </w:pPr>
            <w:r>
              <w:rPr/>
              <w:t> </w:t>
            </w:r>
            <w:bookmarkStart w:id="55" w:name="xdx_400_eus-gaap--AccountsPayableOtherCu"/>
            <w:bookmarkEnd w:id="55"/>
          </w:p>
        </w:tc>
      </w:tr>
      <w:tr>
        <w:trPr/>
        <w:tc>
          <w:tcPr>
            <w:tcW w:w="7719"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7,992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pPr>
            <w:r>
              <w:rPr/>
              <w:t>9,457</w:t>
            </w:r>
          </w:p>
        </w:tc>
        <w:tc>
          <w:tcPr>
            <w:tcW w:w="112" w:type="dxa"/>
            <w:tcBorders/>
            <w:shd w:fill="FFFFFF" w:val="clear"/>
            <w:vAlign w:val="center"/>
          </w:tcPr>
          <w:p>
            <w:pPr>
              <w:pStyle w:val="TableContents"/>
              <w:bidi w:val="0"/>
              <w:spacing w:before="0" w:after="283"/>
              <w:jc w:val="left"/>
              <w:rPr/>
            </w:pPr>
            <w:r>
              <w:rPr/>
              <w:t> </w:t>
            </w:r>
            <w:bookmarkStart w:id="56" w:name="xdx_400_eus-gaap--LiabilitiesCurrent_i02"/>
            <w:bookmarkEnd w:id="56"/>
          </w:p>
        </w:tc>
      </w:tr>
      <w:tr>
        <w:trPr/>
        <w:tc>
          <w:tcPr>
            <w:tcW w:w="7719"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9,646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pPr>
            <w:r>
              <w:rPr/>
              <w:t>10,712</w:t>
            </w:r>
          </w:p>
        </w:tc>
        <w:tc>
          <w:tcPr>
            <w:tcW w:w="112"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7" w:name="xdx_40B_eus-gaap--LiabilitiesNoncurrentA"/>
            <w:bookmarkEnd w:id="57"/>
          </w:p>
        </w:tc>
      </w:tr>
      <w:tr>
        <w:trPr/>
        <w:tc>
          <w:tcPr>
            <w:tcW w:w="7719" w:type="dxa"/>
            <w:tcBorders/>
            <w:shd w:fill="CCEEFF" w:val="clear"/>
            <w:vAlign w:val="center"/>
          </w:tcPr>
          <w:p>
            <w:pPr>
              <w:pStyle w:val="TableContents"/>
              <w:bidi w:val="0"/>
              <w:spacing w:before="0" w:after="283"/>
              <w:jc w:val="left"/>
              <w:rPr>
                <w:b/>
              </w:rPr>
            </w:pPr>
            <w:r>
              <w:rPr>
                <w:b/>
              </w:rPr>
              <w:t>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8" w:name="xdx_40B_eus-gaap--OperatingLeaseLiabilit"/>
            <w:bookmarkEnd w:id="58"/>
          </w:p>
        </w:tc>
      </w:tr>
      <w:tr>
        <w:trPr/>
        <w:tc>
          <w:tcPr>
            <w:tcW w:w="7719" w:type="dxa"/>
            <w:tcBorders/>
            <w:shd w:fill="FFFFFF" w:val="clear"/>
            <w:vAlign w:val="center"/>
          </w:tcPr>
          <w:p>
            <w:pPr>
              <w:pStyle w:val="TableContents"/>
              <w:bidi w:val="0"/>
              <w:spacing w:before="0" w:after="283"/>
              <w:jc w:val="left"/>
              <w:rPr/>
            </w:pPr>
            <w:r>
              <w:rPr/>
              <w:t>Operating lease liabilities net of current maturities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2,224</w:t>
            </w:r>
          </w:p>
        </w:tc>
        <w:tc>
          <w:tcPr>
            <w:tcW w:w="112" w:type="dxa"/>
            <w:tcBorders/>
            <w:shd w:fill="FFFFFF" w:val="clear"/>
            <w:vAlign w:val="center"/>
          </w:tcPr>
          <w:p>
            <w:pPr>
              <w:pStyle w:val="TableContents"/>
              <w:bidi w:val="0"/>
              <w:spacing w:before="0" w:after="283"/>
              <w:jc w:val="left"/>
              <w:rPr/>
            </w:pPr>
            <w:r>
              <w:rPr/>
              <w:t> </w:t>
            </w:r>
            <w:bookmarkStart w:id="59" w:name="xdx_40B_eus-gaap--PensionAndOtherPostret"/>
            <w:bookmarkEnd w:id="59"/>
          </w:p>
        </w:tc>
      </w:tr>
      <w:tr>
        <w:trPr/>
        <w:tc>
          <w:tcPr>
            <w:tcW w:w="7719" w:type="dxa"/>
            <w:tcBorders/>
            <w:shd w:fill="CCEEFF" w:val="clear"/>
            <w:vAlign w:val="center"/>
          </w:tcPr>
          <w:p>
            <w:pPr>
              <w:pStyle w:val="TableContents"/>
              <w:bidi w:val="0"/>
              <w:spacing w:before="0" w:after="283"/>
              <w:jc w:val="left"/>
              <w:rPr/>
            </w:pPr>
            <w:r>
              <w:rPr/>
              <w:t>Liability for employee rights upon retirement and others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pPr>
            <w:r>
              <w:rPr/>
              <w:t>1,267</w:t>
            </w:r>
          </w:p>
        </w:tc>
        <w:tc>
          <w:tcPr>
            <w:tcW w:w="112"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0" w:name="xdx_400_eus-gaap--LiabilitiesNoncurrent_"/>
            <w:bookmarkEnd w:id="60"/>
          </w:p>
        </w:tc>
      </w:tr>
      <w:tr>
        <w:trPr/>
        <w:tc>
          <w:tcPr>
            <w:tcW w:w="7719" w:type="dxa"/>
            <w:tcBorders/>
            <w:shd w:fill="CCEEFF" w:val="clear"/>
            <w:vAlign w:val="center"/>
          </w:tcPr>
          <w:p>
            <w:pPr>
              <w:pStyle w:val="TableContents"/>
              <w:bidi w:val="0"/>
              <w:spacing w:before="0" w:after="283"/>
              <w:jc w:val="left"/>
              <w:rPr>
                <w:b/>
              </w:rPr>
            </w:pPr>
            <w:r>
              <w:rPr>
                <w:b/>
              </w:rPr>
              <w:t>TOTAL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pPr>
            <w:r>
              <w:rPr/>
              <w:t>3,491</w:t>
            </w:r>
          </w:p>
        </w:tc>
        <w:tc>
          <w:tcPr>
            <w:tcW w:w="112"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1" w:name="xdx_406_eus-gaap--Liabilities_i01TI_mtLz"/>
            <w:bookmarkEnd w:id="61"/>
          </w:p>
        </w:tc>
      </w:tr>
      <w:tr>
        <w:trPr/>
        <w:tc>
          <w:tcPr>
            <w:tcW w:w="7719"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13,130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pPr>
            <w:r>
              <w:rPr/>
              <w:t>14,203</w:t>
            </w:r>
          </w:p>
        </w:tc>
        <w:tc>
          <w:tcPr>
            <w:tcW w:w="112" w:type="dxa"/>
            <w:tcBorders/>
            <w:shd w:fill="CCEEFF" w:val="clear"/>
            <w:vAlign w:val="center"/>
          </w:tcPr>
          <w:p>
            <w:pPr>
              <w:pStyle w:val="TableContents"/>
              <w:bidi w:val="0"/>
              <w:spacing w:before="0" w:after="283"/>
              <w:jc w:val="left"/>
              <w:rPr/>
            </w:pPr>
            <w:r>
              <w:rPr/>
              <w:t> </w:t>
            </w:r>
            <w:bookmarkStart w:id="62" w:name="xdx_401_eus-gaap--CommitmentsAndContinge"/>
            <w:bookmarkEnd w:id="62"/>
          </w:p>
        </w:tc>
      </w:tr>
      <w:tr>
        <w:trPr/>
        <w:tc>
          <w:tcPr>
            <w:tcW w:w="7719" w:type="dxa"/>
            <w:tcBorders/>
            <w:shd w:fill="FFFFFF" w:val="clear"/>
            <w:vAlign w:val="center"/>
          </w:tcPr>
          <w:p>
            <w:pPr>
              <w:pStyle w:val="TableContents"/>
              <w:bidi w:val="0"/>
              <w:spacing w:before="0" w:after="283"/>
              <w:jc w:val="left"/>
              <w:rPr>
                <w:b/>
              </w:rPr>
            </w:pPr>
            <w:r>
              <w:rPr>
                <w:b/>
              </w:rPr>
              <w:t>COMMITMENTS AND CONTINGENT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3" w:name="xdx_402_eus-gaap--StockholdersEquityAbst"/>
            <w:bookmarkEnd w:id="63"/>
          </w:p>
        </w:tc>
      </w:tr>
      <w:tr>
        <w:trPr/>
        <w:tc>
          <w:tcPr>
            <w:tcW w:w="7719"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4" w:name="xdx_400_eus-gaap--CommonStockValue_i02I_"/>
            <w:bookmarkEnd w:id="64"/>
          </w:p>
        </w:tc>
      </w:tr>
      <w:tr>
        <w:trPr/>
        <w:tc>
          <w:tcPr>
            <w:tcW w:w="7719" w:type="dxa"/>
            <w:tcBorders/>
            <w:shd w:fill="CCEEFF" w:val="clear"/>
            <w:vAlign w:val="center"/>
          </w:tcPr>
          <w:p>
            <w:pPr>
              <w:pStyle w:val="TableContents"/>
              <w:bidi w:val="0"/>
              <w:spacing w:before="0" w:after="283"/>
              <w:jc w:val="left"/>
              <w:rPr/>
            </w:pPr>
            <w:r>
              <w:rPr/>
              <w:t>Common stock, par value $</w:t>
            </w:r>
            <w:bookmarkStart w:id="65" w:name="xdx_902_eus-gaap--CommonStockParOrStated"/>
            <w:bookmarkStart w:id="66" w:name="xdx_90F_eus-gaap--CommonStockParOrStated"/>
            <w:bookmarkEnd w:id="65"/>
            <w:bookmarkEnd w:id="66"/>
            <w:r>
              <w:rPr/>
              <w:t xml:space="preserve">0.0001 per share; </w:t>
            </w:r>
            <w:bookmarkStart w:id="67" w:name="xdx_90A_eus-gaap--CommonStockSharesAutho"/>
            <w:bookmarkEnd w:id="67"/>
            <w:r>
              <w:rPr/>
              <w:t xml:space="preserve">250,000,000 and </w:t>
            </w:r>
            <w:bookmarkStart w:id="68" w:name="xdx_908_eus-gaap--CommonStockSharesAutho"/>
            <w:bookmarkEnd w:id="68"/>
            <w:r>
              <w:rPr/>
              <w:t xml:space="preserve">150,000,000 shares authorized at June 30, 2026 and December 31, 2025, respectively; </w:t>
            </w:r>
            <w:bookmarkStart w:id="69" w:name="xdx_902_eus-gaap--CommonStockSharesOutst"/>
            <w:bookmarkStart w:id="70" w:name="xdx_900_eus-gaap--CommonStockSharesIssue"/>
            <w:bookmarkEnd w:id="69"/>
            <w:bookmarkEnd w:id="70"/>
            <w:r>
              <w:rPr/>
              <w:t xml:space="preserve">46,921,061 and </w:t>
            </w:r>
            <w:bookmarkStart w:id="71" w:name="xdx_90D_eus-gaap--CommonStockSharesOutst"/>
            <w:bookmarkStart w:id="72" w:name="xdx_907_eus-gaap--CommonStockSharesIssue"/>
            <w:bookmarkEnd w:id="71"/>
            <w:bookmarkEnd w:id="72"/>
            <w:r>
              <w:rPr/>
              <w:t>43,532,281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4</w:t>
            </w:r>
          </w:p>
        </w:tc>
        <w:tc>
          <w:tcPr>
            <w:tcW w:w="112" w:type="dxa"/>
            <w:tcBorders/>
            <w:shd w:fill="CCEEFF" w:val="clear"/>
            <w:vAlign w:val="center"/>
          </w:tcPr>
          <w:p>
            <w:pPr>
              <w:pStyle w:val="TableContents"/>
              <w:bidi w:val="0"/>
              <w:spacing w:before="0" w:after="283"/>
              <w:jc w:val="left"/>
              <w:rPr/>
            </w:pPr>
            <w:r>
              <w:rPr/>
              <w:t> </w:t>
            </w:r>
            <w:bookmarkStart w:id="73" w:name="xdx_405_eus-gaap--PreferredStockValue_i0"/>
            <w:bookmarkEnd w:id="73"/>
          </w:p>
        </w:tc>
      </w:tr>
      <w:tr>
        <w:trPr/>
        <w:tc>
          <w:tcPr>
            <w:tcW w:w="7719" w:type="dxa"/>
            <w:tcBorders/>
            <w:shd w:fill="FFFFFF" w:val="clear"/>
            <w:vAlign w:val="center"/>
          </w:tcPr>
          <w:p>
            <w:pPr>
              <w:pStyle w:val="TableContents"/>
              <w:bidi w:val="0"/>
              <w:spacing w:before="0" w:after="283"/>
              <w:jc w:val="left"/>
              <w:rPr/>
            </w:pPr>
            <w:r>
              <w:rPr/>
              <w:t>Preferred C shares, par value $</w:t>
            </w:r>
            <w:bookmarkStart w:id="74" w:name="xdx_904_eus-gaap--PreferredStockParOrSta"/>
            <w:bookmarkStart w:id="75" w:name="xdx_907_eus-gaap--PreferredStockParOrSta"/>
            <w:bookmarkEnd w:id="74"/>
            <w:bookmarkEnd w:id="75"/>
            <w:r>
              <w:rPr/>
              <w:t xml:space="preserve">0.0001 per share; </w:t>
            </w:r>
            <w:bookmarkStart w:id="76" w:name="xdx_90C_eus-gaap--PreferredStockSharesAu"/>
            <w:bookmarkStart w:id="77" w:name="xdx_90C_eus-gaap--PreferredStockSharesAu"/>
            <w:bookmarkEnd w:id="76"/>
            <w:bookmarkEnd w:id="77"/>
            <w:r>
              <w:rPr/>
              <w:t xml:space="preserve">1,172,000 shares authorized at June 30, 2026 and December 31, 2025; </w:t>
            </w:r>
            <w:bookmarkStart w:id="78" w:name="xdx_90E_eus-gaap--PreferredStockSharesOu"/>
            <w:bookmarkStart w:id="79" w:name="xdx_90E_eus-gaap--PreferredStockSharesIs"/>
            <w:bookmarkStart w:id="80" w:name="xdx_907_eus-gaap--PreferredStockSharesOu"/>
            <w:bookmarkStart w:id="81" w:name="xdx_906_eus-gaap--PreferredStockSharesIs"/>
            <w:bookmarkEnd w:id="78"/>
            <w:bookmarkEnd w:id="79"/>
            <w:bookmarkEnd w:id="80"/>
            <w:bookmarkEnd w:id="81"/>
            <w:r>
              <w:rPr/>
              <w:t>1,718 shares issued and outstanding at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82" w:name="xdx_F22_zKK6ulxps9M1"/>
            <w:bookmarkEnd w:id="82"/>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83" w:name="xdx_F2A_zPc55t049E8h"/>
            <w:bookmarkEnd w:id="83"/>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84" w:name="xdx_406_eus-gaap--AdditionalPaidInCapita"/>
            <w:bookmarkEnd w:id="84"/>
          </w:p>
        </w:tc>
      </w:tr>
      <w:tr>
        <w:trPr/>
        <w:tc>
          <w:tcPr>
            <w:tcW w:w="7719"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361,811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357,489</w:t>
            </w:r>
          </w:p>
        </w:tc>
        <w:tc>
          <w:tcPr>
            <w:tcW w:w="112" w:type="dxa"/>
            <w:tcBorders/>
            <w:shd w:fill="CCEEFF" w:val="clear"/>
            <w:vAlign w:val="center"/>
          </w:tcPr>
          <w:p>
            <w:pPr>
              <w:pStyle w:val="TableContents"/>
              <w:bidi w:val="0"/>
              <w:spacing w:before="0" w:after="283"/>
              <w:jc w:val="left"/>
              <w:rPr/>
            </w:pPr>
            <w:r>
              <w:rPr/>
              <w:t> </w:t>
            </w:r>
            <w:bookmarkStart w:id="85" w:name="xdx_408_eus-gaap--RetainedEarningsAccumu"/>
            <w:bookmarkEnd w:id="85"/>
          </w:p>
        </w:tc>
      </w:tr>
      <w:tr>
        <w:trPr/>
        <w:tc>
          <w:tcPr>
            <w:tcW w:w="7719"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(330,305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pPr>
            <w:r>
              <w:rPr/>
              <w:t>(302,292</w:t>
            </w:r>
          </w:p>
        </w:tc>
        <w:tc>
          <w:tcPr>
            <w:tcW w:w="112" w:type="dxa"/>
            <w:tcBorders/>
            <w:shd w:fill="FFFFFF" w:val="clear"/>
            <w:vAlign w:val="center"/>
          </w:tcPr>
          <w:p>
            <w:pPr>
              <w:pStyle w:val="TableContents"/>
              <w:bidi w:val="0"/>
              <w:spacing w:before="0" w:after="283"/>
              <w:jc w:val="left"/>
              <w:rPr/>
            </w:pPr>
            <w:r>
              <w:rPr/>
              <w:t>)</w:t>
            </w:r>
            <w:bookmarkStart w:id="86" w:name="xdx_408_eus-gaap--StockholdersEquity_i02"/>
            <w:bookmarkEnd w:id="86"/>
          </w:p>
        </w:tc>
      </w:tr>
      <w:tr>
        <w:trPr/>
        <w:tc>
          <w:tcPr>
            <w:tcW w:w="7719" w:type="dxa"/>
            <w:tcBorders/>
            <w:shd w:fill="CCEEFF" w:val="clear"/>
            <w:vAlign w:val="center"/>
          </w:tcPr>
          <w:p>
            <w:pPr>
              <w:pStyle w:val="TableContents"/>
              <w:bidi w:val="0"/>
              <w:spacing w:before="0" w:after="283"/>
              <w:jc w:val="left"/>
              <w:rPr/>
            </w:pPr>
            <w:r>
              <w:rPr/>
              <w:t>Total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pPr>
            <w:r>
              <w:rPr/>
              <w:t>55,201</w:t>
            </w:r>
          </w:p>
        </w:tc>
        <w:tc>
          <w:tcPr>
            <w:tcW w:w="112" w:type="dxa"/>
            <w:tcBorders/>
            <w:shd w:fill="CCEEFF" w:val="clear"/>
            <w:vAlign w:val="center"/>
          </w:tcPr>
          <w:p>
            <w:pPr>
              <w:pStyle w:val="TableContents"/>
              <w:bidi w:val="0"/>
              <w:spacing w:before="0" w:after="283"/>
              <w:jc w:val="left"/>
              <w:rPr/>
            </w:pPr>
            <w:r>
              <w:rPr/>
              <w:t> </w:t>
            </w:r>
            <w:bookmarkStart w:id="87" w:name="xdx_40B_eus-gaap--LiabilitiesAndStockhol"/>
            <w:bookmarkEnd w:id="87"/>
          </w:p>
        </w:tc>
      </w:tr>
      <w:tr>
        <w:trPr/>
        <w:tc>
          <w:tcPr>
            <w:tcW w:w="7719" w:type="dxa"/>
            <w:tcBorders/>
            <w:shd w:fill="FFFFFF" w:val="clear"/>
            <w:vAlign w:val="center"/>
          </w:tcPr>
          <w:p>
            <w:pPr>
              <w:pStyle w:val="TableContents"/>
              <w:bidi w:val="0"/>
              <w:spacing w:before="0" w:after="283"/>
              <w:jc w:val="left"/>
              <w:rPr/>
            </w:pPr>
            <w:r>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44,641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pPr>
            <w:r>
              <w:rPr/>
              <w:t>69,404</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40"/>
        <w:gridCol w:w="3620"/>
      </w:tblGrid>
      <w:tr>
        <w:trPr/>
        <w:tc>
          <w:tcPr>
            <w:tcW w:w="140" w:type="dxa"/>
            <w:tcBorders/>
            <w:vAlign w:val="center"/>
          </w:tcPr>
          <w:p>
            <w:pPr>
              <w:pStyle w:val="TableContents"/>
              <w:bidi w:val="0"/>
              <w:spacing w:before="0" w:after="283"/>
              <w:jc w:val="both"/>
              <w:rPr>
                <w:rFonts w:ascii="Times New Roman;Times;Serif" w:hAnsi="Times New Roman;Times;Serif"/>
                <w:b/>
                <w:sz w:val="20"/>
              </w:rPr>
            </w:pPr>
            <w:bookmarkStart w:id="88" w:name="xdx_F0C_z3z2xYdIt3O8"/>
            <w:bookmarkEnd w:id="88"/>
            <w:r>
              <w:rPr>
                <w:rFonts w:ascii="Times New Roman;Times;Serif" w:hAnsi="Times New Roman;Times;Serif"/>
                <w:b/>
                <w:sz w:val="20"/>
              </w:rPr>
              <w:t>*</w:t>
            </w:r>
          </w:p>
        </w:tc>
        <w:tc>
          <w:tcPr>
            <w:tcW w:w="3620" w:type="dxa"/>
            <w:tcBorders/>
            <w:vAlign w:val="center"/>
          </w:tcPr>
          <w:p>
            <w:pPr>
              <w:pStyle w:val="TableContents"/>
              <w:bidi w:val="0"/>
              <w:spacing w:before="0" w:after="283"/>
              <w:jc w:val="left"/>
              <w:rPr>
                <w:rFonts w:ascii="Times New Roman;Times;Serif" w:hAnsi="Times New Roman;Times;Serif"/>
                <w:sz w:val="20"/>
              </w:rPr>
            </w:pPr>
            <w:bookmarkStart w:id="89" w:name="xdx_F12_zMMykqjjdww3"/>
            <w:bookmarkEnd w:id="89"/>
            <w:r>
              <w:rPr>
                <w:rFonts w:ascii="Times New Roman;Times;Serif" w:hAnsi="Times New Roman;Times;Serif"/>
                <w:sz w:val="20"/>
              </w:rPr>
              <w:t>Represents an amount less than $1 thousand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0" w:name="FIN_002"/>
      <w:bookmarkEnd w:id="90"/>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1" w:name="xdx_30A_113_pn3n3_zBapAjYQ2qcd"/>
      <w:bookmarkStart w:id="92" w:name="xdx_30A_113_pn3n3_zBapAjYQ2qcd"/>
      <w:bookmarkEnd w:id="92"/>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 w:name="xdx_49F_20260401__20260630_z703y8p0Fqs9"/>
            <w:bookmarkEnd w:id="9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 w:name="xdx_493_20250401__20250630_zyAiZCBW85m"/>
            <w:bookmarkEnd w:id="9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 w:name="xdx_495_20260101__20260630_zAygLPCW7lu9"/>
            <w:bookmarkEnd w:id="9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 w:name="xdx_494_20250101__20250630_zTPvoHhfrri5"/>
            <w:bookmarkEnd w:id="9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97" w:name="xdx_400_eus-gaap--RevenueFromContractWit"/>
            <w:bookmarkEnd w:id="97"/>
          </w:p>
        </w:tc>
      </w:tr>
      <w:tr>
        <w:trPr/>
        <w:tc>
          <w:tcPr>
            <w:tcW w:w="461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3,307</w:t>
            </w:r>
          </w:p>
        </w:tc>
        <w:tc>
          <w:tcPr>
            <w:tcW w:w="110" w:type="dxa"/>
            <w:tcBorders/>
            <w:shd w:fill="CCEEFF" w:val="clear"/>
            <w:vAlign w:val="center"/>
          </w:tcPr>
          <w:p>
            <w:pPr>
              <w:pStyle w:val="TableContents"/>
              <w:bidi w:val="0"/>
              <w:spacing w:before="0" w:after="283"/>
              <w:jc w:val="left"/>
              <w:rPr/>
            </w:pPr>
            <w:r>
              <w:rPr/>
              <w:t> </w:t>
            </w:r>
            <w:bookmarkStart w:id="98" w:name="xdx_406_eus-gaap--CostOfGoodsAndServices"/>
            <w:bookmarkEnd w:id="98"/>
          </w:p>
        </w:tc>
      </w:tr>
      <w:tr>
        <w:trPr/>
        <w:tc>
          <w:tcPr>
            <w:tcW w:w="4610"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2,702</w:t>
            </w:r>
          </w:p>
        </w:tc>
        <w:tc>
          <w:tcPr>
            <w:tcW w:w="110" w:type="dxa"/>
            <w:tcBorders/>
            <w:shd w:fill="FFFFFF" w:val="clear"/>
            <w:vAlign w:val="center"/>
          </w:tcPr>
          <w:p>
            <w:pPr>
              <w:pStyle w:val="TableContents"/>
              <w:bidi w:val="0"/>
              <w:spacing w:before="0" w:after="283"/>
              <w:jc w:val="left"/>
              <w:rPr/>
            </w:pPr>
            <w:r>
              <w:rPr/>
              <w:t> </w:t>
            </w:r>
            <w:bookmarkStart w:id="99" w:name="xdx_40C_eus-gaap--GrossProfit_iT_mtGPzmM"/>
            <w:bookmarkEnd w:id="99"/>
          </w:p>
        </w:tc>
      </w:tr>
      <w:tr>
        <w:trPr/>
        <w:tc>
          <w:tcPr>
            <w:tcW w:w="4610" w:type="dxa"/>
            <w:tcBorders/>
            <w:shd w:fill="CCEEFF" w:val="clear"/>
            <w:vAlign w:val="center"/>
          </w:tcPr>
          <w:p>
            <w:pPr>
              <w:pStyle w:val="TableContents"/>
              <w:bidi w:val="0"/>
              <w:spacing w:before="0" w:after="283"/>
              <w:jc w:val="left"/>
              <w:rPr>
                <w:b/>
              </w:rPr>
            </w:pPr>
            <w:r>
              <w:rPr>
                <w:b/>
              </w:rPr>
              <w:t>GROSS PROFIT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605</w:t>
            </w:r>
          </w:p>
        </w:tc>
        <w:tc>
          <w:tcPr>
            <w:tcW w:w="110" w:type="dxa"/>
            <w:tcBorders/>
            <w:shd w:fill="CCEEFF" w:val="clear"/>
            <w:vAlign w:val="center"/>
          </w:tcPr>
          <w:p>
            <w:pPr>
              <w:pStyle w:val="TableContents"/>
              <w:bidi w:val="0"/>
              <w:spacing w:before="0" w:after="283"/>
              <w:jc w:val="left"/>
              <w:rPr/>
            </w:pPr>
            <w:r>
              <w:rPr/>
              <w:t> </w:t>
            </w:r>
            <w:bookmarkStart w:id="100" w:name="xdx_400_eus-gaap--OperatingExpensesAbstr"/>
            <w:bookmarkEnd w:id="100"/>
          </w:p>
        </w:tc>
      </w:tr>
      <w:tr>
        <w:trPr/>
        <w:tc>
          <w:tcPr>
            <w:tcW w:w="461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1" w:name="xdx_402_eus-gaap--ResearchAndDevelopment"/>
            <w:bookmarkEnd w:id="101"/>
          </w:p>
        </w:tc>
      </w:tr>
      <w:tr>
        <w:trPr/>
        <w:tc>
          <w:tcPr>
            <w:tcW w:w="46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7,893</w:t>
            </w:r>
          </w:p>
        </w:tc>
        <w:tc>
          <w:tcPr>
            <w:tcW w:w="110" w:type="dxa"/>
            <w:tcBorders/>
            <w:shd w:fill="CCEEFF" w:val="clear"/>
            <w:vAlign w:val="center"/>
          </w:tcPr>
          <w:p>
            <w:pPr>
              <w:pStyle w:val="TableContents"/>
              <w:bidi w:val="0"/>
              <w:spacing w:before="0" w:after="283"/>
              <w:jc w:val="left"/>
              <w:rPr/>
            </w:pPr>
            <w:r>
              <w:rPr/>
              <w:t> </w:t>
            </w:r>
            <w:bookmarkStart w:id="102" w:name="xdx_404_eus-gaap--SellingAndMarketingExp"/>
            <w:bookmarkEnd w:id="102"/>
          </w:p>
        </w:tc>
      </w:tr>
      <w:tr>
        <w:trPr/>
        <w:tc>
          <w:tcPr>
            <w:tcW w:w="461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6,922</w:t>
            </w:r>
          </w:p>
        </w:tc>
        <w:tc>
          <w:tcPr>
            <w:tcW w:w="110" w:type="dxa"/>
            <w:tcBorders/>
            <w:shd w:fill="FFFFFF" w:val="clear"/>
            <w:vAlign w:val="center"/>
          </w:tcPr>
          <w:p>
            <w:pPr>
              <w:pStyle w:val="TableContents"/>
              <w:bidi w:val="0"/>
              <w:spacing w:before="0" w:after="283"/>
              <w:jc w:val="left"/>
              <w:rPr/>
            </w:pPr>
            <w:r>
              <w:rPr/>
              <w:t> </w:t>
            </w:r>
            <w:bookmarkStart w:id="103" w:name="xdx_407_eus-gaap--GeneralAndAdministrati"/>
            <w:bookmarkEnd w:id="103"/>
          </w:p>
        </w:tc>
      </w:tr>
      <w:tr>
        <w:trPr/>
        <w:tc>
          <w:tcPr>
            <w:tcW w:w="46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10,269</w:t>
            </w:r>
          </w:p>
        </w:tc>
        <w:tc>
          <w:tcPr>
            <w:tcW w:w="110" w:type="dxa"/>
            <w:tcBorders/>
            <w:shd w:fill="CCEEFF" w:val="clear"/>
            <w:vAlign w:val="center"/>
          </w:tcPr>
          <w:p>
            <w:pPr>
              <w:pStyle w:val="TableContents"/>
              <w:bidi w:val="0"/>
              <w:spacing w:before="0" w:after="283"/>
              <w:jc w:val="left"/>
              <w:rPr/>
            </w:pPr>
            <w:r>
              <w:rPr/>
              <w:t> </w:t>
            </w:r>
            <w:bookmarkStart w:id="104" w:name="xdx_407_eus-gaap--OperatingExpenses_i01T"/>
            <w:bookmarkEnd w:id="104"/>
          </w:p>
        </w:tc>
      </w:tr>
      <w:tr>
        <w:trPr/>
        <w:tc>
          <w:tcPr>
            <w:tcW w:w="461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25,084</w:t>
            </w:r>
          </w:p>
        </w:tc>
        <w:tc>
          <w:tcPr>
            <w:tcW w:w="110" w:type="dxa"/>
            <w:tcBorders/>
            <w:shd w:fill="FFFFFF" w:val="clear"/>
            <w:vAlign w:val="center"/>
          </w:tcPr>
          <w:p>
            <w:pPr>
              <w:pStyle w:val="TableContents"/>
              <w:bidi w:val="0"/>
              <w:spacing w:before="0" w:after="283"/>
              <w:jc w:val="left"/>
              <w:rPr/>
            </w:pPr>
            <w:r>
              <w:rPr/>
              <w:t> </w:t>
            </w:r>
            <w:bookmarkStart w:id="105" w:name="xdx_40A_eus-gaap--OperatingIncomeLoss_iT"/>
            <w:bookmarkEnd w:id="105"/>
          </w:p>
        </w:tc>
      </w:tr>
      <w:tr>
        <w:trPr/>
        <w:tc>
          <w:tcPr>
            <w:tcW w:w="461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(24,479</w:t>
            </w:r>
          </w:p>
        </w:tc>
        <w:tc>
          <w:tcPr>
            <w:tcW w:w="110" w:type="dxa"/>
            <w:tcBorders/>
            <w:shd w:fill="CCEEFF" w:val="clear"/>
            <w:vAlign w:val="center"/>
          </w:tcPr>
          <w:p>
            <w:pPr>
              <w:pStyle w:val="TableContents"/>
              <w:bidi w:val="0"/>
              <w:spacing w:before="0" w:after="283"/>
              <w:jc w:val="left"/>
              <w:rPr/>
            </w:pPr>
            <w:r>
              <w:rPr/>
              <w:t>)</w:t>
            </w:r>
            <w:bookmarkStart w:id="106" w:name="xdx_40A_eus-gaap--NonoperatingIncomeExpe"/>
            <w:bookmarkEnd w:id="106"/>
          </w:p>
        </w:tc>
      </w:tr>
      <w:tr>
        <w:trPr/>
        <w:tc>
          <w:tcPr>
            <w:tcW w:w="4610" w:type="dxa"/>
            <w:tcBorders/>
            <w:shd w:fill="FFFFFF" w:val="clear"/>
            <w:vAlign w:val="center"/>
          </w:tcPr>
          <w:p>
            <w:pPr>
              <w:pStyle w:val="TableContents"/>
              <w:bidi w:val="0"/>
              <w:spacing w:before="0" w:after="283"/>
              <w:jc w:val="left"/>
              <w:rPr>
                <w:b/>
              </w:rPr>
            </w:pPr>
            <w:r>
              <w:rPr>
                <w:b/>
              </w:rPr>
              <w:t>FINANCIAL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w:t>
            </w:r>
          </w:p>
        </w:tc>
        <w:tc>
          <w:tcPr>
            <w:tcW w:w="110" w:type="dxa"/>
            <w:tcBorders/>
            <w:shd w:fill="FFFFFF" w:val="clear"/>
            <w:vAlign w:val="center"/>
          </w:tcPr>
          <w:p>
            <w:pPr>
              <w:pStyle w:val="TableContents"/>
              <w:bidi w:val="0"/>
              <w:spacing w:before="0" w:after="283"/>
              <w:jc w:val="left"/>
              <w:rPr/>
            </w:pPr>
            <w:r>
              <w:rPr/>
              <w:t> </w:t>
            </w:r>
            <w:bookmarkStart w:id="107" w:name="xdx_40A_eus-gaap--NetIncomeLoss_iT_mtNIL"/>
            <w:bookmarkEnd w:id="107"/>
          </w:p>
        </w:tc>
      </w:tr>
      <w:tr>
        <w:trPr/>
        <w:tc>
          <w:tcPr>
            <w:tcW w:w="46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(13,151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(28,013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(24,317</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b/>
              </w:rPr>
            </w:pPr>
            <w:r>
              <w:rPr>
                <w:b/>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8" w:name="xdx_901_eus-gaap--EarningsPerShareDilute"/>
            <w:bookmarkStart w:id="109" w:name="xdx_909_eus-gaap--EarningsPerShareBasic_"/>
            <w:bookmarkEnd w:id="108"/>
            <w:bookmarkEnd w:id="109"/>
            <w:r>
              <w:rPr/>
              <w:t>(0.17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0" w:name="xdx_90F_eus-gaap--EarningsPerShareDilute"/>
            <w:bookmarkStart w:id="111" w:name="xdx_90B_eus-gaap--EarningsPerShareBasic_"/>
            <w:bookmarkEnd w:id="110"/>
            <w:bookmarkEnd w:id="111"/>
            <w:r>
              <w:rPr/>
              <w:t>(0.26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2" w:name="xdx_90C_eus-gaap--EarningsPerShareDilute"/>
            <w:bookmarkStart w:id="113" w:name="xdx_907_eus-gaap--EarningsPerShareBasic_"/>
            <w:bookmarkEnd w:id="112"/>
            <w:bookmarkEnd w:id="113"/>
            <w:r>
              <w:rPr/>
              <w:t>(0.33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4" w:name="xdx_904_eus-gaap--EarningsPerShareDilute"/>
            <w:bookmarkStart w:id="115" w:name="xdx_906_eus-gaap--EarningsPerShareBasic_"/>
            <w:bookmarkEnd w:id="114"/>
            <w:bookmarkEnd w:id="115"/>
            <w:r>
              <w:rPr/>
              <w:t>(0.48</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b/>
              </w:rPr>
            </w:pPr>
            <w:r>
              <w:rPr>
                <w:b/>
              </w:rPr>
              <w:t>WEIGHTED AVERAGE NUMBER OF COMMON STOCK USED IN COMPUTING 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6" w:name="xdx_906_eus-gaap--WeightedAverageNumberO"/>
            <w:bookmarkStart w:id="117" w:name="xdx_90C_eus-gaap--WeightedAverageNumberO"/>
            <w:bookmarkEnd w:id="116"/>
            <w:bookmarkEnd w:id="117"/>
            <w:r>
              <w:rPr/>
              <w:t>84,659,943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 w:name="xdx_900_eus-gaap--WeightedAverageNumberO"/>
            <w:bookmarkStart w:id="119" w:name="xdx_909_eus-gaap--WeightedAverageNumberO"/>
            <w:bookmarkEnd w:id="118"/>
            <w:bookmarkEnd w:id="119"/>
            <w:r>
              <w:rPr/>
              <w:t>51,003,900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0" w:name="xdx_908_eus-gaap--WeightedAverageNumberO"/>
            <w:bookmarkStart w:id="121" w:name="xdx_90C_eus-gaap--WeightedAverageNumberO"/>
            <w:bookmarkEnd w:id="120"/>
            <w:bookmarkEnd w:id="121"/>
            <w:r>
              <w:rPr/>
              <w:t>84,236,742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2" w:name="xdx_901_eus-gaap--WeightedAverageNumberO"/>
            <w:bookmarkStart w:id="123" w:name="xdx_903_eus-gaap--WeightedAverageNumberO"/>
            <w:bookmarkEnd w:id="122"/>
            <w:bookmarkEnd w:id="123"/>
            <w:r>
              <w:rPr/>
              <w:t>50,508,660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4" w:name="FIN_003"/>
      <w:bookmarkEnd w:id="124"/>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5" w:name="xdx_302_114_pn3n3_zYVdFtOwujgg"/>
      <w:bookmarkStart w:id="126" w:name="xdx_302_114_pn3n3_zYVdFtOwujgg"/>
      <w:bookmarkEnd w:id="126"/>
    </w:p>
    <w:tbl>
      <w:tblPr>
        <w:tblW w:w="10205" w:type="dxa"/>
        <w:jc w:val="left"/>
        <w:tblInd w:w="0" w:type="dxa"/>
        <w:tblLayout w:type="fixed"/>
        <w:tblCellMar>
          <w:top w:w="0" w:type="dxa"/>
          <w:left w:w="0" w:type="dxa"/>
          <w:bottom w:w="0" w:type="dxa"/>
          <w:right w:w="0" w:type="dxa"/>
        </w:tblCellMar>
      </w:tblPr>
      <w:tblGrid>
        <w:gridCol w:w="2332"/>
        <w:gridCol w:w="60"/>
        <w:gridCol w:w="60"/>
        <w:gridCol w:w="1100"/>
        <w:gridCol w:w="60"/>
        <w:gridCol w:w="60"/>
        <w:gridCol w:w="258"/>
        <w:gridCol w:w="602"/>
        <w:gridCol w:w="60"/>
        <w:gridCol w:w="60"/>
        <w:gridCol w:w="68"/>
        <w:gridCol w:w="648"/>
        <w:gridCol w:w="60"/>
        <w:gridCol w:w="60"/>
        <w:gridCol w:w="260"/>
        <w:gridCol w:w="608"/>
        <w:gridCol w:w="60"/>
        <w:gridCol w:w="60"/>
        <w:gridCol w:w="79"/>
        <w:gridCol w:w="1074"/>
        <w:gridCol w:w="60"/>
        <w:gridCol w:w="60"/>
        <w:gridCol w:w="87"/>
        <w:gridCol w:w="1283"/>
        <w:gridCol w:w="95"/>
        <w:gridCol w:w="60"/>
        <w:gridCol w:w="60"/>
        <w:gridCol w:w="755"/>
        <w:gridCol w:w="116"/>
      </w:tblGrid>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 w:name="xdx_4B3_us-gaap--StatementEquityComponen"/>
            <w:bookmarkEnd w:id="127"/>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2_us-gaap--StatementEquityComponen"/>
            <w:bookmarkEnd w:id="128"/>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9_us-gaap--StatementEquityComponen"/>
            <w:bookmarkEnd w:id="129"/>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BF_us-gaap--StatementEquityComponen"/>
            <w:bookmarkEnd w:id="130"/>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 w:name="xdx_4B4_zHKc5BmxhjQa"/>
            <w:bookmarkEnd w:id="131"/>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6"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C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Total</w:t>
            </w:r>
          </w:p>
        </w:tc>
        <w:tc>
          <w:tcPr>
            <w:tcW w:w="116"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6"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bookmarkStart w:id="132" w:name="xdx_43A_c20250101__20250630_eus-gaap--St"/>
            <w:bookmarkEnd w:id="132"/>
          </w:p>
        </w:tc>
      </w:tr>
      <w:tr>
        <w:trPr/>
        <w:tc>
          <w:tcPr>
            <w:tcW w:w="2332"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 w:name="xdx_987_eus-gaap--SharesOutstanding_iS_p"/>
            <w:bookmarkEnd w:id="133"/>
          </w:p>
        </w:tc>
        <w:tc>
          <w:tcPr>
            <w:tcW w:w="1100" w:type="dxa"/>
            <w:tcBorders/>
            <w:shd w:fill="CCEEFF" w:val="clear"/>
            <w:vAlign w:val="center"/>
          </w:tcPr>
          <w:p>
            <w:pPr>
              <w:pStyle w:val="TableContents"/>
              <w:bidi w:val="0"/>
              <w:spacing w:before="0" w:after="283"/>
              <w:jc w:val="right"/>
              <w:rPr>
                <w:b/>
              </w:rPr>
            </w:pPr>
            <w:r>
              <w:rPr>
                <w:b/>
              </w:rPr>
              <w:t>26,611,033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34" w:name="xdx_986_eus-gaap--SharesOutstanding_iS_p"/>
            <w:bookmarkEnd w:id="134"/>
          </w:p>
        </w:tc>
        <w:tc>
          <w:tcPr>
            <w:tcW w:w="648" w:type="dxa"/>
            <w:tcBorders/>
            <w:shd w:fill="CCEEFF" w:val="clear"/>
            <w:vAlign w:val="center"/>
          </w:tcPr>
          <w:p>
            <w:pPr>
              <w:pStyle w:val="TableContents"/>
              <w:bidi w:val="0"/>
              <w:spacing w:before="0" w:after="283"/>
              <w:jc w:val="right"/>
              <w:rPr>
                <w:b/>
              </w:rPr>
            </w:pPr>
            <w:r>
              <w:rPr>
                <w:b/>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35" w:name="xdx_F2B_zJoBDU6ZDLLa"/>
            <w:bookmarkEnd w:id="135"/>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b/>
              </w:rPr>
            </w:pPr>
            <w:r>
              <w:rPr>
                <w:b/>
              </w:rPr>
              <w:t>289,589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(253,506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36,086</w:t>
            </w:r>
          </w:p>
        </w:tc>
        <w:tc>
          <w:tcPr>
            <w:tcW w:w="116" w:type="dxa"/>
            <w:tcBorders/>
            <w:shd w:fill="CCEEFF" w:val="clear"/>
            <w:vAlign w:val="center"/>
          </w:tcPr>
          <w:p>
            <w:pPr>
              <w:pStyle w:val="TableContents"/>
              <w:bidi w:val="0"/>
              <w:spacing w:before="0" w:after="283"/>
              <w:jc w:val="left"/>
              <w:rPr/>
            </w:pPr>
            <w:r>
              <w:rPr/>
              <w:t> </w:t>
            </w:r>
            <w:bookmarkStart w:id="136" w:name="xdx_40B_eus-gaap--NetIncomeLoss_zgszg71Z"/>
            <w:bookmarkEnd w:id="136"/>
          </w:p>
        </w:tc>
      </w:tr>
      <w:tr>
        <w:trPr/>
        <w:tc>
          <w:tcPr>
            <w:tcW w:w="2332"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(24,317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(24,317</w:t>
            </w:r>
          </w:p>
        </w:tc>
        <w:tc>
          <w:tcPr>
            <w:tcW w:w="116" w:type="dxa"/>
            <w:tcBorders/>
            <w:shd w:fill="FFFFFF" w:val="clear"/>
            <w:vAlign w:val="center"/>
          </w:tcPr>
          <w:p>
            <w:pPr>
              <w:pStyle w:val="TableContents"/>
              <w:bidi w:val="0"/>
              <w:spacing w:before="0" w:after="283"/>
              <w:jc w:val="left"/>
              <w:rPr>
                <w:b/>
              </w:rPr>
            </w:pPr>
            <w:r>
              <w:rPr>
                <w:b/>
              </w:rPr>
              <w:t>)</w:t>
            </w:r>
            <w:bookmarkStart w:id="137" w:name="xdx_40C_ecustom--StockIssuedDuringPeriod"/>
            <w:bookmarkEnd w:id="137"/>
          </w:p>
        </w:tc>
      </w:tr>
      <w:tr>
        <w:trPr/>
        <w:tc>
          <w:tcPr>
            <w:tcW w:w="2332" w:type="dxa"/>
            <w:tcBorders/>
            <w:shd w:fill="CCEEFF" w:val="clear"/>
            <w:vAlign w:val="center"/>
          </w:tcPr>
          <w:p>
            <w:pPr>
              <w:pStyle w:val="TableContents"/>
              <w:bidi w:val="0"/>
              <w:spacing w:before="0" w:after="283"/>
              <w:jc w:val="left"/>
              <w:rPr>
                <w:b/>
              </w:rPr>
            </w:pPr>
            <w:r>
              <w:rPr>
                <w:b/>
              </w:rPr>
              <w:t>Exercise of pre-funded warrants</w:t>
            </w:r>
            <w:bookmarkStart w:id="138" w:name="xdx_F49_zNBF2PMqfrE9"/>
            <w:bookmarkEnd w:id="138"/>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9" w:name="xdx_988_ecustom--StockIssuedDuringPeriod"/>
            <w:bookmarkEnd w:id="139"/>
          </w:p>
        </w:tc>
        <w:tc>
          <w:tcPr>
            <w:tcW w:w="1100" w:type="dxa"/>
            <w:tcBorders/>
            <w:shd w:fill="CCEEFF" w:val="clear"/>
            <w:vAlign w:val="center"/>
          </w:tcPr>
          <w:p>
            <w:pPr>
              <w:pStyle w:val="TableContents"/>
              <w:bidi w:val="0"/>
              <w:spacing w:before="0" w:after="283"/>
              <w:jc w:val="right"/>
              <w:rPr>
                <w:b/>
              </w:rPr>
            </w:pPr>
            <w:r>
              <w:rPr>
                <w:b/>
              </w:rPr>
              <w:t>1,411,553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40" w:name="xdx_F26_zBuPqjmrysF6"/>
            <w:bookmarkEnd w:id="140"/>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41" w:name="xdx_F27_zcSU6WjpseT5"/>
            <w:bookmarkEnd w:id="141"/>
            <w:r>
              <w:rPr>
                <w:b/>
              </w:rPr>
              <w:t>*</w:t>
            </w:r>
          </w:p>
        </w:tc>
        <w:tc>
          <w:tcPr>
            <w:tcW w:w="116" w:type="dxa"/>
            <w:tcBorders/>
            <w:shd w:fill="CCEEFF" w:val="clear"/>
            <w:vAlign w:val="center"/>
          </w:tcPr>
          <w:p>
            <w:pPr>
              <w:pStyle w:val="TableContents"/>
              <w:bidi w:val="0"/>
              <w:spacing w:before="0" w:after="283"/>
              <w:jc w:val="left"/>
              <w:rPr/>
            </w:pPr>
            <w:r>
              <w:rPr/>
              <w:t> </w:t>
            </w:r>
            <w:bookmarkStart w:id="142" w:name="xdx_40B_eus-gaap--StockIssuedDuringPerio"/>
            <w:bookmarkEnd w:id="142"/>
          </w:p>
        </w:tc>
      </w:tr>
      <w:tr>
        <w:trPr/>
        <w:tc>
          <w:tcPr>
            <w:tcW w:w="2332" w:type="dxa"/>
            <w:tcBorders/>
            <w:shd w:fill="FFFFFF" w:val="clear"/>
            <w:vAlign w:val="center"/>
          </w:tcPr>
          <w:p>
            <w:pPr>
              <w:pStyle w:val="TableContents"/>
              <w:bidi w:val="0"/>
              <w:spacing w:before="0" w:after="283"/>
              <w:jc w:val="left"/>
              <w:rPr>
                <w:b/>
              </w:rPr>
            </w:pPr>
            <w:r>
              <w:rPr>
                <w:b/>
              </w:rPr>
              <w:t>Issuance of common stock, included at the market offering net of $</w:t>
            </w:r>
            <w:bookmarkStart w:id="143" w:name="xdx_90D_eus-gaap--ProceedsFromIssuanceIn"/>
            <w:bookmarkEnd w:id="143"/>
            <w:r>
              <w:rPr>
                <w:b/>
              </w:rPr>
              <w:t>22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4" w:name="xdx_98A_eus-gaap--StockIssuedDuringPerio"/>
            <w:bookmarkEnd w:id="144"/>
          </w:p>
        </w:tc>
        <w:tc>
          <w:tcPr>
            <w:tcW w:w="1100" w:type="dxa"/>
            <w:tcBorders/>
            <w:shd w:fill="FFFFFF" w:val="clear"/>
            <w:vAlign w:val="center"/>
          </w:tcPr>
          <w:p>
            <w:pPr>
              <w:pStyle w:val="TableContents"/>
              <w:bidi w:val="0"/>
              <w:spacing w:before="0" w:after="283"/>
              <w:jc w:val="right"/>
              <w:rPr>
                <w:b/>
              </w:rPr>
            </w:pPr>
            <w:r>
              <w:rPr>
                <w:b/>
              </w:rPr>
              <w:t>273,621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145" w:name="xdx_F28_zDH95BqCNck4"/>
            <w:bookmarkEnd w:id="145"/>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b/>
              </w:rPr>
            </w:pPr>
            <w:r>
              <w:rPr>
                <w:b/>
              </w:rPr>
              <w:t>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696</w:t>
            </w:r>
          </w:p>
        </w:tc>
        <w:tc>
          <w:tcPr>
            <w:tcW w:w="116" w:type="dxa"/>
            <w:tcBorders/>
            <w:shd w:fill="FFFFFF" w:val="clear"/>
            <w:vAlign w:val="center"/>
          </w:tcPr>
          <w:p>
            <w:pPr>
              <w:pStyle w:val="TableContents"/>
              <w:bidi w:val="0"/>
              <w:spacing w:before="0" w:after="283"/>
              <w:jc w:val="left"/>
              <w:rPr/>
            </w:pPr>
            <w:r>
              <w:rPr/>
              <w:t> </w:t>
            </w:r>
            <w:bookmarkStart w:id="146" w:name="xdx_406_ecustom--StockIssuedDuringPeriod"/>
            <w:bookmarkEnd w:id="146"/>
          </w:p>
        </w:tc>
      </w:tr>
      <w:tr>
        <w:trPr/>
        <w:tc>
          <w:tcPr>
            <w:tcW w:w="2332" w:type="dxa"/>
            <w:tcBorders/>
            <w:shd w:fill="CCEEFF" w:val="clear"/>
            <w:vAlign w:val="center"/>
          </w:tcPr>
          <w:p>
            <w:pPr>
              <w:pStyle w:val="TableContents"/>
              <w:bidi w:val="0"/>
              <w:spacing w:before="0" w:after="283"/>
              <w:jc w:val="left"/>
              <w:rPr>
                <w:b/>
              </w:rPr>
            </w:pPr>
            <w:r>
              <w:rPr>
                <w:b/>
              </w:rPr>
              <w:t>Exercise of Warrants Series I to common stock, net of $</w:t>
            </w:r>
            <w:bookmarkStart w:id="147" w:name="xdx_904_eus-gaap--StockIssued1_pn3n3_c20"/>
            <w:bookmarkEnd w:id="147"/>
            <w:r>
              <w:rPr>
                <w:b/>
              </w:rPr>
              <w:t>109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8" w:name="xdx_982_ecustom--StockIssuedDuringPeriod"/>
            <w:bookmarkEnd w:id="148"/>
          </w:p>
        </w:tc>
        <w:tc>
          <w:tcPr>
            <w:tcW w:w="1100" w:type="dxa"/>
            <w:tcBorders/>
            <w:shd w:fill="CCEEFF" w:val="clear"/>
            <w:vAlign w:val="center"/>
          </w:tcPr>
          <w:p>
            <w:pPr>
              <w:pStyle w:val="TableContents"/>
              <w:bidi w:val="0"/>
              <w:spacing w:before="0" w:after="283"/>
              <w:jc w:val="right"/>
              <w:rPr>
                <w:b/>
              </w:rPr>
            </w:pPr>
            <w:r>
              <w:rPr>
                <w:b/>
              </w:rPr>
              <w:t>1,408,752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49" w:name="xdx_F2D_zabfZ3P2gOS1"/>
            <w:bookmarkEnd w:id="149"/>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b/>
              </w:rPr>
            </w:pPr>
            <w:r>
              <w:rPr>
                <w:b/>
              </w:rPr>
              <w:t>1,838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jc w:val="right"/>
              <w:rPr/>
            </w:pPr>
            <w:r>
              <w:rPr/>
              <w:t> </w:t>
            </w:r>
          </w:p>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1,838</w:t>
            </w:r>
          </w:p>
        </w:tc>
        <w:tc>
          <w:tcPr>
            <w:tcW w:w="116" w:type="dxa"/>
            <w:tcBorders/>
            <w:shd w:fill="CCEEFF" w:val="clear"/>
            <w:vAlign w:val="center"/>
          </w:tcPr>
          <w:p>
            <w:pPr>
              <w:pStyle w:val="TableContents"/>
              <w:bidi w:val="0"/>
              <w:spacing w:before="0" w:after="283"/>
              <w:jc w:val="left"/>
              <w:rPr/>
            </w:pPr>
            <w:r>
              <w:rPr/>
              <w:t> </w:t>
            </w:r>
            <w:bookmarkStart w:id="150" w:name="xdx_404_ecustom--SharebasedCompensationR"/>
            <w:bookmarkEnd w:id="150"/>
          </w:p>
        </w:tc>
      </w:tr>
      <w:tr>
        <w:trPr/>
        <w:tc>
          <w:tcPr>
            <w:tcW w:w="2332" w:type="dxa"/>
            <w:tcBorders/>
            <w:shd w:fill="FFFFFF" w:val="clear"/>
            <w:vAlign w:val="center"/>
          </w:tcPr>
          <w:p>
            <w:pPr>
              <w:pStyle w:val="TableContents"/>
              <w:bidi w:val="0"/>
              <w:spacing w:before="0" w:after="283"/>
              <w:jc w:val="left"/>
              <w:rPr>
                <w:b/>
              </w:rPr>
            </w:pPr>
            <w:r>
              <w:rPr>
                <w:b/>
              </w:rPr>
              <w:t xml:space="preserve">Share-based compensation related to stock, restricted stock, restricted stock units and stock options award, net of forfeitures of </w:t>
            </w:r>
            <w:bookmarkStart w:id="151" w:name="xdx_905_eus-gaap--StockIssuedDuringPerio"/>
            <w:bookmarkEnd w:id="151"/>
            <w:r>
              <w:rPr>
                <w:b/>
              </w:rPr>
              <w:t>288,207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2" w:name="xdx_983_ecustom--SharebasedCompensationR"/>
            <w:bookmarkEnd w:id="152"/>
          </w:p>
        </w:tc>
        <w:tc>
          <w:tcPr>
            <w:tcW w:w="1100" w:type="dxa"/>
            <w:tcBorders/>
            <w:shd w:fill="FFFFFF" w:val="clear"/>
            <w:vAlign w:val="center"/>
          </w:tcPr>
          <w:p>
            <w:pPr>
              <w:pStyle w:val="TableContents"/>
              <w:bidi w:val="0"/>
              <w:spacing w:before="0" w:after="283"/>
              <w:jc w:val="right"/>
              <w:rPr>
                <w:b/>
              </w:rPr>
            </w:pPr>
            <w:r>
              <w:rPr>
                <w:b/>
              </w:rPr>
              <w:t>2,847,929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153" w:name="xdx_F2B_zTCg362UGyMf"/>
            <w:bookmarkEnd w:id="153"/>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b/>
              </w:rPr>
            </w:pPr>
            <w:r>
              <w:rPr>
                <w:b/>
              </w:rPr>
              <w:t>5,940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5,940</w:t>
            </w:r>
          </w:p>
        </w:tc>
        <w:tc>
          <w:tcPr>
            <w:tcW w:w="116" w:type="dxa"/>
            <w:tcBorders/>
            <w:shd w:fill="FFFFFF" w:val="clear"/>
            <w:vAlign w:val="center"/>
          </w:tcPr>
          <w:p>
            <w:pPr>
              <w:pStyle w:val="TableContents"/>
              <w:bidi w:val="0"/>
              <w:spacing w:before="0" w:after="283"/>
              <w:jc w:val="left"/>
              <w:rPr/>
            </w:pPr>
            <w:r>
              <w:rPr/>
              <w:t> </w:t>
            </w:r>
            <w:bookmarkStart w:id="154" w:name="xdx_433_c20250101__20250630_eus-gaap--St"/>
            <w:bookmarkEnd w:id="154"/>
          </w:p>
        </w:tc>
      </w:tr>
      <w:tr>
        <w:trPr/>
        <w:tc>
          <w:tcPr>
            <w:tcW w:w="2332"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5" w:name="xdx_985_eus-gaap--SharesOutstanding_iE_p"/>
            <w:bookmarkEnd w:id="15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32,552,888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6" w:name="xdx_988_eus-gaap--SharesOutstanding_iE_p"/>
            <w:bookmarkEnd w:id="156"/>
          </w:p>
        </w:tc>
        <w:tc>
          <w:tcPr>
            <w:tcW w:w="64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157" w:name="xdx_F2D_zLuftvzlaMS7"/>
            <w:bookmarkEnd w:id="157"/>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298,063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(277,823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20,243</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230"/>
        <w:gridCol w:w="4175"/>
      </w:tblGrid>
      <w:tr>
        <w:trPr/>
        <w:tc>
          <w:tcPr>
            <w:tcW w:w="230" w:type="dxa"/>
            <w:tcBorders/>
            <w:vAlign w:val="center"/>
          </w:tcPr>
          <w:p>
            <w:pPr>
              <w:pStyle w:val="TableContents"/>
              <w:bidi w:val="0"/>
              <w:spacing w:before="0" w:after="283"/>
              <w:jc w:val="both"/>
              <w:rPr>
                <w:rFonts w:ascii="Times New Roman;Times;Serif" w:hAnsi="Times New Roman;Times;Serif"/>
                <w:b/>
                <w:sz w:val="20"/>
              </w:rPr>
            </w:pPr>
            <w:bookmarkStart w:id="158" w:name="xdx_F09_zrD8xh7Ihl57"/>
            <w:bookmarkEnd w:id="158"/>
            <w:r>
              <w:rPr>
                <w:rFonts w:ascii="Times New Roman;Times;Serif" w:hAnsi="Times New Roman;Times;Serif"/>
                <w:b/>
                <w:sz w:val="20"/>
              </w:rPr>
              <w:t>*</w:t>
            </w:r>
          </w:p>
        </w:tc>
        <w:tc>
          <w:tcPr>
            <w:tcW w:w="4175" w:type="dxa"/>
            <w:tcBorders/>
            <w:vAlign w:val="center"/>
          </w:tcPr>
          <w:p>
            <w:pPr>
              <w:pStyle w:val="TableContents"/>
              <w:bidi w:val="0"/>
              <w:spacing w:before="0" w:after="283"/>
              <w:jc w:val="both"/>
              <w:rPr>
                <w:rFonts w:ascii="Times New Roman;Times;Serif" w:hAnsi="Times New Roman;Times;Serif"/>
                <w:sz w:val="20"/>
              </w:rPr>
            </w:pPr>
            <w:bookmarkStart w:id="159" w:name="xdx_F14_zL3DB2u0bFk8"/>
            <w:bookmarkEnd w:id="159"/>
            <w:r>
              <w:rPr>
                <w:rFonts w:ascii="Times New Roman;Times;Serif" w:hAnsi="Times New Roman;Times;Serif"/>
                <w:sz w:val="20"/>
              </w:rPr>
              <w:t>Represents an amount less than $1 thousand</w:t>
            </w:r>
          </w:p>
        </w:tc>
      </w:tr>
      <w:tr>
        <w:trPr/>
        <w:tc>
          <w:tcPr>
            <w:tcW w:w="230" w:type="dxa"/>
            <w:tcBorders/>
            <w:vAlign w:val="center"/>
          </w:tcPr>
          <w:p>
            <w:pPr>
              <w:pStyle w:val="TableContents"/>
              <w:bidi w:val="0"/>
              <w:spacing w:before="0" w:after="283"/>
              <w:jc w:val="both"/>
              <w:rPr>
                <w:rFonts w:ascii="Times New Roman;Times;Serif" w:hAnsi="Times New Roman;Times;Serif"/>
                <w:b/>
                <w:sz w:val="20"/>
              </w:rPr>
            </w:pPr>
            <w:bookmarkStart w:id="160" w:name="xdx_F00_zRXNmf5oqAMd"/>
            <w:bookmarkEnd w:id="160"/>
            <w:r>
              <w:rPr>
                <w:rFonts w:ascii="Times New Roman;Times;Serif" w:hAnsi="Times New Roman;Times;Serif"/>
                <w:b/>
                <w:sz w:val="20"/>
              </w:rPr>
              <w:t>**</w:t>
            </w:r>
          </w:p>
        </w:tc>
        <w:tc>
          <w:tcPr>
            <w:tcW w:w="4175" w:type="dxa"/>
            <w:tcBorders/>
            <w:vAlign w:val="center"/>
          </w:tcPr>
          <w:p>
            <w:pPr>
              <w:pStyle w:val="TableContents"/>
              <w:bidi w:val="0"/>
              <w:spacing w:before="0" w:after="283"/>
              <w:jc w:val="both"/>
              <w:rPr>
                <w:rFonts w:ascii="Times New Roman;Times;Serif" w:hAnsi="Times New Roman;Times;Serif"/>
                <w:sz w:val="20"/>
              </w:rPr>
            </w:pPr>
            <w:bookmarkStart w:id="161" w:name="xdx_F13_zWtZMWxoHG33"/>
            <w:bookmarkEnd w:id="161"/>
            <w:r>
              <w:rPr>
                <w:rFonts w:ascii="Times New Roman;Times;Serif" w:hAnsi="Times New Roman;Times;Serif"/>
                <w:sz w:val="20"/>
              </w:rPr>
              <w:t>Represents cashless exercise of pre-funded warrants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2"/>
        <w:gridCol w:w="60"/>
        <w:gridCol w:w="60"/>
        <w:gridCol w:w="1100"/>
        <w:gridCol w:w="60"/>
        <w:gridCol w:w="60"/>
        <w:gridCol w:w="258"/>
        <w:gridCol w:w="602"/>
        <w:gridCol w:w="60"/>
        <w:gridCol w:w="60"/>
        <w:gridCol w:w="68"/>
        <w:gridCol w:w="648"/>
        <w:gridCol w:w="60"/>
        <w:gridCol w:w="60"/>
        <w:gridCol w:w="260"/>
        <w:gridCol w:w="608"/>
        <w:gridCol w:w="60"/>
        <w:gridCol w:w="60"/>
        <w:gridCol w:w="79"/>
        <w:gridCol w:w="1074"/>
        <w:gridCol w:w="60"/>
        <w:gridCol w:w="60"/>
        <w:gridCol w:w="87"/>
        <w:gridCol w:w="1283"/>
        <w:gridCol w:w="95"/>
        <w:gridCol w:w="60"/>
        <w:gridCol w:w="60"/>
        <w:gridCol w:w="755"/>
        <w:gridCol w:w="116"/>
      </w:tblGrid>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2" w:name="xdx_4B7_us-gaap--StatementEquityComponen"/>
            <w:bookmarkEnd w:id="162"/>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3" w:name="xdx_4B9_us-gaap--StatementEquityComponen"/>
            <w:bookmarkEnd w:id="163"/>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 w:name="xdx_4B8_us-gaap--StatementEquityComponen"/>
            <w:bookmarkEnd w:id="164"/>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BD_us-gaap--StatementEquityComponen"/>
            <w:bookmarkEnd w:id="165"/>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 w:name="xdx_4B6_zmup6oehyCr9"/>
            <w:bookmarkEnd w:id="166"/>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6"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C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Total</w:t>
            </w:r>
          </w:p>
        </w:tc>
        <w:tc>
          <w:tcPr>
            <w:tcW w:w="116"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6"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bookmarkStart w:id="167" w:name="xdx_430_c20250401__20250630_eus-gaap--St"/>
            <w:bookmarkEnd w:id="167"/>
          </w:p>
        </w:tc>
      </w:tr>
      <w:tr>
        <w:trPr/>
        <w:tc>
          <w:tcPr>
            <w:tcW w:w="2332" w:type="dxa"/>
            <w:tcBorders/>
            <w:shd w:fill="CCEEFF" w:val="clear"/>
            <w:vAlign w:val="center"/>
          </w:tcPr>
          <w:p>
            <w:pPr>
              <w:pStyle w:val="TableContents"/>
              <w:bidi w:val="0"/>
              <w:spacing w:before="0" w:after="283"/>
              <w:jc w:val="left"/>
              <w:rPr>
                <w:b/>
              </w:rPr>
            </w:pPr>
            <w:r>
              <w:rPr>
                <w:b/>
              </w:rPr>
              <w:t>BALANCE AT April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8" w:name="xdx_980_eus-gaap--SharesOutstanding_iS_p"/>
            <w:bookmarkEnd w:id="168"/>
          </w:p>
        </w:tc>
        <w:tc>
          <w:tcPr>
            <w:tcW w:w="1100" w:type="dxa"/>
            <w:tcBorders/>
            <w:shd w:fill="CCEEFF" w:val="clear"/>
            <w:vAlign w:val="center"/>
          </w:tcPr>
          <w:p>
            <w:pPr>
              <w:pStyle w:val="TableContents"/>
              <w:bidi w:val="0"/>
              <w:spacing w:before="0" w:after="283"/>
              <w:jc w:val="right"/>
              <w:rPr>
                <w:b/>
              </w:rPr>
            </w:pPr>
            <w:r>
              <w:rPr>
                <w:b/>
              </w:rPr>
              <w:t>29,752,661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69" w:name="xdx_981_eus-gaap--SharesOutstanding_iS_p"/>
            <w:bookmarkEnd w:id="169"/>
          </w:p>
        </w:tc>
        <w:tc>
          <w:tcPr>
            <w:tcW w:w="648" w:type="dxa"/>
            <w:tcBorders/>
            <w:shd w:fill="CCEEFF" w:val="clear"/>
            <w:vAlign w:val="center"/>
          </w:tcPr>
          <w:p>
            <w:pPr>
              <w:pStyle w:val="TableContents"/>
              <w:bidi w:val="0"/>
              <w:spacing w:before="0" w:after="283"/>
              <w:jc w:val="right"/>
              <w:rPr>
                <w:b/>
              </w:rPr>
            </w:pPr>
            <w:r>
              <w:rPr>
                <w:b/>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70" w:name="xdx_F22_zImXm0mzby5i"/>
            <w:bookmarkEnd w:id="170"/>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b/>
              </w:rPr>
            </w:pPr>
            <w:r>
              <w:rPr>
                <w:b/>
              </w:rPr>
              <w:t>293,014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(264,672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28,345</w:t>
            </w:r>
          </w:p>
        </w:tc>
        <w:tc>
          <w:tcPr>
            <w:tcW w:w="116" w:type="dxa"/>
            <w:tcBorders/>
            <w:shd w:fill="CCEEFF" w:val="clear"/>
            <w:vAlign w:val="center"/>
          </w:tcPr>
          <w:p>
            <w:pPr>
              <w:pStyle w:val="TableContents"/>
              <w:bidi w:val="0"/>
              <w:spacing w:before="0" w:after="283"/>
              <w:jc w:val="left"/>
              <w:rPr/>
            </w:pPr>
            <w:r>
              <w:rPr/>
              <w:t> </w:t>
            </w:r>
            <w:bookmarkStart w:id="171" w:name="xdx_409_eus-gaap--NetIncomeLoss_zslOGzFP"/>
            <w:bookmarkEnd w:id="171"/>
          </w:p>
        </w:tc>
      </w:tr>
      <w:tr>
        <w:trPr/>
        <w:tc>
          <w:tcPr>
            <w:tcW w:w="2332"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(13,151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(13,151</w:t>
            </w:r>
          </w:p>
        </w:tc>
        <w:tc>
          <w:tcPr>
            <w:tcW w:w="116" w:type="dxa"/>
            <w:tcBorders/>
            <w:shd w:fill="FFFFFF" w:val="clear"/>
            <w:vAlign w:val="center"/>
          </w:tcPr>
          <w:p>
            <w:pPr>
              <w:pStyle w:val="TableContents"/>
              <w:bidi w:val="0"/>
              <w:spacing w:before="0" w:after="283"/>
              <w:jc w:val="left"/>
              <w:rPr>
                <w:b/>
              </w:rPr>
            </w:pPr>
            <w:r>
              <w:rPr>
                <w:b/>
              </w:rPr>
              <w:t>)</w:t>
            </w:r>
            <w:bookmarkStart w:id="172" w:name="xdx_40C_ecustom--StockIssuedDuringPeriod"/>
            <w:bookmarkEnd w:id="172"/>
          </w:p>
        </w:tc>
      </w:tr>
      <w:tr>
        <w:trPr/>
        <w:tc>
          <w:tcPr>
            <w:tcW w:w="2332" w:type="dxa"/>
            <w:tcBorders/>
            <w:shd w:fill="CCEEFF" w:val="clear"/>
            <w:vAlign w:val="center"/>
          </w:tcPr>
          <w:p>
            <w:pPr>
              <w:pStyle w:val="TableContents"/>
              <w:bidi w:val="0"/>
              <w:spacing w:before="0" w:after="283"/>
              <w:jc w:val="left"/>
              <w:rPr>
                <w:b/>
              </w:rPr>
            </w:pPr>
            <w:r>
              <w:rPr>
                <w:b/>
              </w:rPr>
              <w:t>Exercise of pre-funded warrants</w:t>
            </w:r>
            <w:bookmarkStart w:id="173" w:name="xdx_F4A_zqSh01CVrwuc"/>
            <w:bookmarkEnd w:id="173"/>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4" w:name="xdx_98A_ecustom--StockIssuedDuringPeriod"/>
            <w:bookmarkEnd w:id="174"/>
          </w:p>
        </w:tc>
        <w:tc>
          <w:tcPr>
            <w:tcW w:w="1100" w:type="dxa"/>
            <w:tcBorders/>
            <w:shd w:fill="CCEEFF" w:val="clear"/>
            <w:vAlign w:val="center"/>
          </w:tcPr>
          <w:p>
            <w:pPr>
              <w:pStyle w:val="TableContents"/>
              <w:bidi w:val="0"/>
              <w:spacing w:before="0" w:after="283"/>
              <w:jc w:val="right"/>
              <w:rPr>
                <w:b/>
              </w:rPr>
            </w:pPr>
            <w:r>
              <w:rPr>
                <w:b/>
              </w:rPr>
              <w:t>767,693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75" w:name="xdx_F23_zL6hZXDIbdp4"/>
            <w:bookmarkEnd w:id="175"/>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76" w:name="xdx_F23_zmXc47BdduQl"/>
            <w:bookmarkEnd w:id="176"/>
            <w:r>
              <w:rPr>
                <w:b/>
              </w:rPr>
              <w:t>*</w:t>
            </w:r>
          </w:p>
        </w:tc>
        <w:tc>
          <w:tcPr>
            <w:tcW w:w="116" w:type="dxa"/>
            <w:tcBorders/>
            <w:shd w:fill="CCEEFF" w:val="clear"/>
            <w:vAlign w:val="center"/>
          </w:tcPr>
          <w:p>
            <w:pPr>
              <w:pStyle w:val="TableContents"/>
              <w:bidi w:val="0"/>
              <w:spacing w:before="0" w:after="283"/>
              <w:jc w:val="left"/>
              <w:rPr/>
            </w:pPr>
            <w:r>
              <w:rPr/>
              <w:t> </w:t>
            </w:r>
            <w:bookmarkStart w:id="177" w:name="xdx_401_ecustom--StockIssuedDuringPeriod"/>
            <w:bookmarkEnd w:id="177"/>
          </w:p>
        </w:tc>
      </w:tr>
      <w:tr>
        <w:trPr/>
        <w:tc>
          <w:tcPr>
            <w:tcW w:w="2332" w:type="dxa"/>
            <w:tcBorders/>
            <w:shd w:fill="FFFFFF" w:val="clear"/>
            <w:vAlign w:val="center"/>
          </w:tcPr>
          <w:p>
            <w:pPr>
              <w:pStyle w:val="TableContents"/>
              <w:bidi w:val="0"/>
              <w:spacing w:before="0" w:after="283"/>
              <w:jc w:val="left"/>
              <w:rPr>
                <w:b/>
              </w:rPr>
            </w:pPr>
            <w:r>
              <w:rPr>
                <w:b/>
              </w:rPr>
              <w:t>Exercise of Warrants Series I to common stock, net of $</w:t>
            </w:r>
            <w:bookmarkStart w:id="178" w:name="xdx_90C_eus-gaap--StockIssued1_pn3n3_c20"/>
            <w:bookmarkEnd w:id="178"/>
            <w:r>
              <w:rPr>
                <w:b/>
              </w:rPr>
              <w:t>109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 w:name="xdx_989_ecustom--StockIssuedDuringPeriod"/>
            <w:bookmarkEnd w:id="179"/>
          </w:p>
        </w:tc>
        <w:tc>
          <w:tcPr>
            <w:tcW w:w="1100" w:type="dxa"/>
            <w:tcBorders/>
            <w:shd w:fill="FFFFFF" w:val="clear"/>
            <w:vAlign w:val="center"/>
          </w:tcPr>
          <w:p>
            <w:pPr>
              <w:pStyle w:val="TableContents"/>
              <w:bidi w:val="0"/>
              <w:spacing w:before="0" w:after="283"/>
              <w:jc w:val="right"/>
              <w:rPr>
                <w:b/>
              </w:rPr>
            </w:pPr>
            <w:r>
              <w:rPr>
                <w:b/>
              </w:rPr>
              <w:t>1,408,752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180" w:name="xdx_F26_zvjvQNLYu6Lc"/>
            <w:bookmarkEnd w:id="180"/>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b/>
              </w:rPr>
            </w:pPr>
            <w:r>
              <w:rPr>
                <w:b/>
              </w:rPr>
              <w:t>1,838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1,838</w:t>
            </w:r>
          </w:p>
        </w:tc>
        <w:tc>
          <w:tcPr>
            <w:tcW w:w="116" w:type="dxa"/>
            <w:tcBorders/>
            <w:shd w:fill="FFFFFF" w:val="clear"/>
            <w:vAlign w:val="center"/>
          </w:tcPr>
          <w:p>
            <w:pPr>
              <w:pStyle w:val="TableContents"/>
              <w:bidi w:val="0"/>
              <w:spacing w:before="0" w:after="283"/>
              <w:jc w:val="left"/>
              <w:rPr/>
            </w:pPr>
            <w:r>
              <w:rPr/>
              <w:t> </w:t>
            </w:r>
            <w:bookmarkStart w:id="181" w:name="xdx_40C_ecustom--StockIssuedDuringPeriod"/>
            <w:bookmarkEnd w:id="181"/>
          </w:p>
        </w:tc>
      </w:tr>
      <w:tr>
        <w:trPr/>
        <w:tc>
          <w:tcPr>
            <w:tcW w:w="2332" w:type="dxa"/>
            <w:tcBorders/>
            <w:shd w:fill="FFFFFF" w:val="clear"/>
            <w:vAlign w:val="center"/>
          </w:tcPr>
          <w:p>
            <w:pPr>
              <w:pStyle w:val="TableContents"/>
              <w:bidi w:val="0"/>
              <w:spacing w:before="0" w:after="283"/>
              <w:jc w:val="left"/>
              <w:rPr>
                <w:b/>
              </w:rPr>
            </w:pPr>
            <w:r>
              <w:rPr>
                <w:b/>
              </w:rPr>
              <w:t>Exercise of Warrants Series I to common stock,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2" w:name="xdx_98D_ecustom--StockIssuedDuringPeriod"/>
            <w:bookmarkEnd w:id="182"/>
          </w:p>
        </w:tc>
        <w:tc>
          <w:tcPr>
            <w:tcW w:w="1100" w:type="dxa"/>
            <w:tcBorders/>
            <w:shd w:fill="FFFFFF" w:val="clear"/>
            <w:vAlign w:val="center"/>
          </w:tcPr>
          <w:p>
            <w:pPr>
              <w:pStyle w:val="TableContents"/>
              <w:bidi w:val="0"/>
              <w:spacing w:before="0" w:after="283"/>
              <w:jc w:val="right"/>
              <w:rPr>
                <w:b/>
              </w:rPr>
            </w:pPr>
            <w:r>
              <w:rPr>
                <w:b/>
              </w:rPr>
              <w:t>1,408,752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183" w:name="xdx_F2C_zAhg1gMT8wl4"/>
            <w:bookmarkEnd w:id="183"/>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b/>
              </w:rPr>
            </w:pPr>
            <w:r>
              <w:rPr>
                <w:b/>
              </w:rPr>
              <w:t>1,838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1,838</w:t>
            </w:r>
          </w:p>
        </w:tc>
        <w:tc>
          <w:tcPr>
            <w:tcW w:w="116" w:type="dxa"/>
            <w:tcBorders/>
            <w:shd w:fill="FFFFFF" w:val="clear"/>
            <w:vAlign w:val="center"/>
          </w:tcPr>
          <w:p>
            <w:pPr>
              <w:pStyle w:val="TableContents"/>
              <w:bidi w:val="0"/>
              <w:spacing w:before="0" w:after="283"/>
              <w:jc w:val="left"/>
              <w:rPr/>
            </w:pPr>
            <w:r>
              <w:rPr/>
              <w:t> </w:t>
            </w:r>
            <w:bookmarkStart w:id="184" w:name="xdx_404_ecustom--SharebasedCompensationR"/>
            <w:bookmarkEnd w:id="184"/>
          </w:p>
        </w:tc>
      </w:tr>
      <w:tr>
        <w:trPr/>
        <w:tc>
          <w:tcPr>
            <w:tcW w:w="2332" w:type="dxa"/>
            <w:tcBorders/>
            <w:shd w:fill="CCEEFF" w:val="clear"/>
            <w:vAlign w:val="center"/>
          </w:tcPr>
          <w:p>
            <w:pPr>
              <w:pStyle w:val="TableContents"/>
              <w:bidi w:val="0"/>
              <w:spacing w:before="0" w:after="283"/>
              <w:jc w:val="left"/>
              <w:rPr>
                <w:b/>
              </w:rPr>
            </w:pPr>
            <w:r>
              <w:rPr>
                <w:b/>
              </w:rPr>
              <w:t xml:space="preserve">Share-based compensation related to stock, restricted stock, restricted stock units and stock options award, net of forfeitures of </w:t>
            </w:r>
            <w:bookmarkStart w:id="185" w:name="xdx_903_eus-gaap--StockIssuedDuringPerio"/>
            <w:bookmarkEnd w:id="185"/>
            <w:r>
              <w:rPr>
                <w:b/>
              </w:rPr>
              <w:t>258,912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6" w:name="xdx_98A_ecustom--SharebasedCompensationR"/>
            <w:bookmarkEnd w:id="186"/>
          </w:p>
        </w:tc>
        <w:tc>
          <w:tcPr>
            <w:tcW w:w="1100" w:type="dxa"/>
            <w:tcBorders/>
            <w:shd w:fill="CCEEFF" w:val="clear"/>
            <w:vAlign w:val="center"/>
          </w:tcPr>
          <w:p>
            <w:pPr>
              <w:pStyle w:val="TableContents"/>
              <w:bidi w:val="0"/>
              <w:spacing w:before="0" w:after="283"/>
              <w:jc w:val="right"/>
              <w:rPr>
                <w:b/>
              </w:rPr>
            </w:pPr>
            <w:r>
              <w:rPr>
                <w:b/>
              </w:rPr>
              <w:t>623,782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87" w:name="xdx_F25_zdGBk5eQeq2d"/>
            <w:bookmarkEnd w:id="187"/>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b/>
              </w:rPr>
            </w:pPr>
            <w:r>
              <w:rPr>
                <w:b/>
              </w:rPr>
              <w:t>3,211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3,211</w:t>
            </w:r>
          </w:p>
        </w:tc>
        <w:tc>
          <w:tcPr>
            <w:tcW w:w="116" w:type="dxa"/>
            <w:tcBorders/>
            <w:shd w:fill="CCEEFF" w:val="clear"/>
            <w:vAlign w:val="center"/>
          </w:tcPr>
          <w:p>
            <w:pPr>
              <w:pStyle w:val="TableContents"/>
              <w:bidi w:val="0"/>
              <w:spacing w:before="0" w:after="283"/>
              <w:jc w:val="left"/>
              <w:rPr/>
            </w:pPr>
            <w:r>
              <w:rPr/>
              <w:t> </w:t>
            </w:r>
            <w:bookmarkStart w:id="188" w:name="xdx_43A_c20250401__20250630_eus-gaap--St"/>
            <w:bookmarkEnd w:id="188"/>
          </w:p>
        </w:tc>
      </w:tr>
      <w:tr>
        <w:trPr/>
        <w:tc>
          <w:tcPr>
            <w:tcW w:w="2332" w:type="dxa"/>
            <w:tcBorders/>
            <w:shd w:fill="FFFFFF" w:val="clear"/>
            <w:vAlign w:val="center"/>
          </w:tcPr>
          <w:p>
            <w:pPr>
              <w:pStyle w:val="TableContents"/>
              <w:bidi w:val="0"/>
              <w:spacing w:before="0" w:after="283"/>
              <w:jc w:val="left"/>
              <w:rPr>
                <w:b/>
              </w:rPr>
            </w:pPr>
            <w:r>
              <w:rPr>
                <w:b/>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9" w:name="xdx_986_eus-gaap--SharesOutstanding_iE_p"/>
            <w:bookmarkEnd w:id="189"/>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32,552,888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0" w:name="xdx_986_eus-gaap--SharesOutstanding_iE_p"/>
            <w:bookmarkEnd w:id="190"/>
          </w:p>
        </w:tc>
        <w:tc>
          <w:tcPr>
            <w:tcW w:w="64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191" w:name="xdx_F28_zzlo7HzzbDIl"/>
            <w:bookmarkEnd w:id="191"/>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298,063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(277,823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20,243</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230"/>
        <w:gridCol w:w="4175"/>
      </w:tblGrid>
      <w:tr>
        <w:trPr/>
        <w:tc>
          <w:tcPr>
            <w:tcW w:w="230" w:type="dxa"/>
            <w:tcBorders/>
            <w:vAlign w:val="center"/>
          </w:tcPr>
          <w:p>
            <w:pPr>
              <w:pStyle w:val="TableContents"/>
              <w:bidi w:val="0"/>
              <w:spacing w:before="0" w:after="283"/>
              <w:jc w:val="both"/>
              <w:rPr>
                <w:rFonts w:ascii="Times New Roman;Times;Serif" w:hAnsi="Times New Roman;Times;Serif"/>
                <w:b/>
                <w:sz w:val="20"/>
              </w:rPr>
            </w:pPr>
            <w:bookmarkStart w:id="192" w:name="xdx_F0F_zKTZO5y7wvY7"/>
            <w:bookmarkEnd w:id="192"/>
            <w:r>
              <w:rPr>
                <w:rFonts w:ascii="Times New Roman;Times;Serif" w:hAnsi="Times New Roman;Times;Serif"/>
                <w:b/>
                <w:sz w:val="20"/>
              </w:rPr>
              <w:t>*</w:t>
            </w:r>
          </w:p>
        </w:tc>
        <w:tc>
          <w:tcPr>
            <w:tcW w:w="4175" w:type="dxa"/>
            <w:tcBorders/>
            <w:vAlign w:val="center"/>
          </w:tcPr>
          <w:p>
            <w:pPr>
              <w:pStyle w:val="TableContents"/>
              <w:bidi w:val="0"/>
              <w:spacing w:before="0" w:after="283"/>
              <w:jc w:val="both"/>
              <w:rPr>
                <w:rFonts w:ascii="Times New Roman;Times;Serif" w:hAnsi="Times New Roman;Times;Serif"/>
                <w:sz w:val="20"/>
              </w:rPr>
            </w:pPr>
            <w:bookmarkStart w:id="193" w:name="xdx_F10_zqwVoZgKlVC1"/>
            <w:bookmarkEnd w:id="193"/>
            <w:r>
              <w:rPr>
                <w:rFonts w:ascii="Times New Roman;Times;Serif" w:hAnsi="Times New Roman;Times;Serif"/>
                <w:sz w:val="20"/>
              </w:rPr>
              <w:t>Represents an amount less than $1 thousand</w:t>
            </w:r>
          </w:p>
        </w:tc>
      </w:tr>
      <w:tr>
        <w:trPr/>
        <w:tc>
          <w:tcPr>
            <w:tcW w:w="230" w:type="dxa"/>
            <w:tcBorders/>
            <w:vAlign w:val="center"/>
          </w:tcPr>
          <w:p>
            <w:pPr>
              <w:pStyle w:val="TableContents"/>
              <w:bidi w:val="0"/>
              <w:spacing w:before="0" w:after="283"/>
              <w:jc w:val="both"/>
              <w:rPr>
                <w:rFonts w:ascii="Times New Roman;Times;Serif" w:hAnsi="Times New Roman;Times;Serif"/>
                <w:b/>
                <w:sz w:val="20"/>
              </w:rPr>
            </w:pPr>
            <w:bookmarkStart w:id="194" w:name="xdx_F06_zecgU91VfXme"/>
            <w:bookmarkEnd w:id="194"/>
            <w:r>
              <w:rPr>
                <w:rFonts w:ascii="Times New Roman;Times;Serif" w:hAnsi="Times New Roman;Times;Serif"/>
                <w:b/>
                <w:sz w:val="20"/>
              </w:rPr>
              <w:t>**</w:t>
            </w:r>
          </w:p>
        </w:tc>
        <w:tc>
          <w:tcPr>
            <w:tcW w:w="4175" w:type="dxa"/>
            <w:tcBorders/>
            <w:vAlign w:val="center"/>
          </w:tcPr>
          <w:p>
            <w:pPr>
              <w:pStyle w:val="TableContents"/>
              <w:bidi w:val="0"/>
              <w:spacing w:before="0" w:after="283"/>
              <w:jc w:val="both"/>
              <w:rPr>
                <w:rFonts w:ascii="Times New Roman;Times;Serif" w:hAnsi="Times New Roman;Times;Serif"/>
                <w:sz w:val="20"/>
              </w:rPr>
            </w:pPr>
            <w:bookmarkStart w:id="195" w:name="xdx_F14_zLogKbSVfm0i"/>
            <w:bookmarkEnd w:id="195"/>
            <w:r>
              <w:rPr>
                <w:rFonts w:ascii="Times New Roman;Times;Serif" w:hAnsi="Times New Roman;Times;Serif"/>
                <w:sz w:val="20"/>
              </w:rPr>
              <w:t>Represents cashless exercise of pre-funded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9"/>
        <w:gridCol w:w="60"/>
        <w:gridCol w:w="60"/>
        <w:gridCol w:w="1100"/>
        <w:gridCol w:w="60"/>
        <w:gridCol w:w="60"/>
        <w:gridCol w:w="258"/>
        <w:gridCol w:w="602"/>
        <w:gridCol w:w="60"/>
        <w:gridCol w:w="60"/>
        <w:gridCol w:w="68"/>
        <w:gridCol w:w="649"/>
        <w:gridCol w:w="60"/>
        <w:gridCol w:w="60"/>
        <w:gridCol w:w="260"/>
        <w:gridCol w:w="608"/>
        <w:gridCol w:w="60"/>
        <w:gridCol w:w="60"/>
        <w:gridCol w:w="79"/>
        <w:gridCol w:w="1076"/>
        <w:gridCol w:w="60"/>
        <w:gridCol w:w="60"/>
        <w:gridCol w:w="87"/>
        <w:gridCol w:w="1283"/>
        <w:gridCol w:w="95"/>
        <w:gridCol w:w="60"/>
        <w:gridCol w:w="60"/>
        <w:gridCol w:w="755"/>
        <w:gridCol w:w="116"/>
      </w:tblGrid>
      <w:tr>
        <w:trPr/>
        <w:tc>
          <w:tcPr>
            <w:tcW w:w="23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6" w:name="xdx_4B9_us-gaap--StatementEquityComponen"/>
            <w:bookmarkEnd w:id="19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7" w:name="xdx_4B9_us-gaap--StatementEquityComponen"/>
            <w:bookmarkEnd w:id="197"/>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8" w:name="xdx_4B0_us-gaap--StatementEquityComponen"/>
            <w:bookmarkEnd w:id="198"/>
          </w:p>
        </w:tc>
        <w:tc>
          <w:tcPr>
            <w:tcW w:w="11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9" w:name="xdx_4B7_us-gaap--StatementEquityComponen"/>
            <w:bookmarkEnd w:id="199"/>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0" w:name="xdx_4BB_zBMOExTufqE6"/>
            <w:bookmarkEnd w:id="200"/>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6" w:type="dxa"/>
            <w:tcBorders/>
            <w:vAlign w:val="center"/>
          </w:tcPr>
          <w:p>
            <w:pPr>
              <w:pStyle w:val="TableContents"/>
              <w:bidi w:val="0"/>
              <w:spacing w:before="0" w:after="283"/>
              <w:jc w:val="left"/>
              <w:rPr/>
            </w:pPr>
            <w:r>
              <w:rPr/>
              <w:t> </w:t>
            </w:r>
          </w:p>
        </w:tc>
      </w:tr>
      <w:tr>
        <w:trPr/>
        <w:tc>
          <w:tcPr>
            <w:tcW w:w="23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C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5"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Total</w:t>
            </w:r>
          </w:p>
        </w:tc>
        <w:tc>
          <w:tcPr>
            <w:tcW w:w="116" w:type="dxa"/>
            <w:tcBorders/>
            <w:vAlign w:val="center"/>
          </w:tcPr>
          <w:p>
            <w:pPr>
              <w:pStyle w:val="TableContents"/>
              <w:bidi w:val="0"/>
              <w:spacing w:before="0" w:after="283"/>
              <w:jc w:val="left"/>
              <w:rPr/>
            </w:pPr>
            <w:r>
              <w:rPr/>
              <w:t> </w:t>
            </w:r>
          </w:p>
        </w:tc>
      </w:tr>
      <w:tr>
        <w:trPr/>
        <w:tc>
          <w:tcPr>
            <w:tcW w:w="23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6" w:type="dxa"/>
            <w:tcBorders/>
            <w:vAlign w:val="center"/>
          </w:tcPr>
          <w:p>
            <w:pPr>
              <w:pStyle w:val="TableContents"/>
              <w:bidi w:val="0"/>
              <w:spacing w:before="0" w:after="283"/>
              <w:jc w:val="left"/>
              <w:rPr/>
            </w:pPr>
            <w:r>
              <w:rPr/>
              <w:t> </w:t>
            </w:r>
          </w:p>
        </w:tc>
      </w:tr>
      <w:tr>
        <w:trPr/>
        <w:tc>
          <w:tcPr>
            <w:tcW w:w="23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bookmarkStart w:id="201" w:name="xdx_43E_c20260101__20260630_eus-gaap--St"/>
            <w:bookmarkEnd w:id="201"/>
          </w:p>
        </w:tc>
      </w:tr>
      <w:tr>
        <w:trPr/>
        <w:tc>
          <w:tcPr>
            <w:tcW w:w="2329" w:type="dxa"/>
            <w:tcBorders/>
            <w:shd w:fill="CCEEFF" w:val="clear"/>
            <w:vAlign w:val="center"/>
          </w:tcPr>
          <w:p>
            <w:pPr>
              <w:pStyle w:val="TableContents"/>
              <w:bidi w:val="0"/>
              <w:spacing w:before="0" w:after="283"/>
              <w:jc w:val="left"/>
              <w:rPr>
                <w:b/>
              </w:rPr>
            </w:pPr>
            <w:r>
              <w:rPr>
                <w:b/>
              </w:rPr>
              <w:t>BALANCE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2" w:name="xdx_98F_eus-gaap--SharesOutstanding_iS_p"/>
            <w:bookmarkEnd w:id="202"/>
          </w:p>
        </w:tc>
        <w:tc>
          <w:tcPr>
            <w:tcW w:w="1100" w:type="dxa"/>
            <w:tcBorders/>
            <w:shd w:fill="CCEEFF" w:val="clear"/>
            <w:vAlign w:val="center"/>
          </w:tcPr>
          <w:p>
            <w:pPr>
              <w:pStyle w:val="TableContents"/>
              <w:bidi w:val="0"/>
              <w:spacing w:before="0" w:after="283"/>
              <w:jc w:val="right"/>
              <w:rPr>
                <w:b/>
              </w:rPr>
            </w:pPr>
            <w:r>
              <w:rPr>
                <w:b/>
              </w:rPr>
              <w:t>43,532,281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203" w:name="xdx_98D_eus-gaap--SharesOutstanding_iS_p"/>
            <w:bookmarkEnd w:id="203"/>
          </w:p>
        </w:tc>
        <w:tc>
          <w:tcPr>
            <w:tcW w:w="649" w:type="dxa"/>
            <w:tcBorders/>
            <w:shd w:fill="CCEEFF" w:val="clear"/>
            <w:vAlign w:val="center"/>
          </w:tcPr>
          <w:p>
            <w:pPr>
              <w:pStyle w:val="TableContents"/>
              <w:bidi w:val="0"/>
              <w:spacing w:before="0" w:after="283"/>
              <w:jc w:val="right"/>
              <w:rPr>
                <w:b/>
              </w:rPr>
            </w:pPr>
            <w:r>
              <w:rPr>
                <w:b/>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204" w:name="xdx_F2C_zT8uQ9fVGs3d"/>
            <w:bookmarkEnd w:id="204"/>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b/>
              </w:rPr>
            </w:pPr>
            <w:r>
              <w:rPr>
                <w:b/>
              </w:rPr>
              <w:t>357,489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(302,292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55,201</w:t>
            </w:r>
          </w:p>
        </w:tc>
        <w:tc>
          <w:tcPr>
            <w:tcW w:w="116" w:type="dxa"/>
            <w:tcBorders/>
            <w:shd w:fill="CCEEFF" w:val="clear"/>
            <w:vAlign w:val="center"/>
          </w:tcPr>
          <w:p>
            <w:pPr>
              <w:pStyle w:val="TableContents"/>
              <w:bidi w:val="0"/>
              <w:spacing w:before="0" w:after="283"/>
              <w:jc w:val="left"/>
              <w:rPr/>
            </w:pPr>
            <w:r>
              <w:rPr/>
              <w:t> </w:t>
            </w:r>
            <w:bookmarkStart w:id="205" w:name="xdx_40B_eus-gaap--NetIncomeLoss_z5ywXUN0"/>
            <w:bookmarkEnd w:id="205"/>
          </w:p>
        </w:tc>
      </w:tr>
      <w:tr>
        <w:trPr/>
        <w:tc>
          <w:tcPr>
            <w:tcW w:w="2329"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(28,013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(28,013</w:t>
            </w:r>
          </w:p>
        </w:tc>
        <w:tc>
          <w:tcPr>
            <w:tcW w:w="116" w:type="dxa"/>
            <w:tcBorders/>
            <w:shd w:fill="FFFFFF" w:val="clear"/>
            <w:vAlign w:val="center"/>
          </w:tcPr>
          <w:p>
            <w:pPr>
              <w:pStyle w:val="TableContents"/>
              <w:bidi w:val="0"/>
              <w:spacing w:before="0" w:after="283"/>
              <w:jc w:val="left"/>
              <w:rPr>
                <w:b/>
              </w:rPr>
            </w:pPr>
            <w:r>
              <w:rPr>
                <w:b/>
              </w:rPr>
              <w:t>)</w:t>
            </w:r>
            <w:bookmarkStart w:id="206" w:name="xdx_404_ecustom--SharebasedCompensationR"/>
            <w:bookmarkEnd w:id="206"/>
          </w:p>
        </w:tc>
      </w:tr>
      <w:tr>
        <w:trPr/>
        <w:tc>
          <w:tcPr>
            <w:tcW w:w="2329" w:type="dxa"/>
            <w:tcBorders/>
            <w:shd w:fill="CCEEFF" w:val="clear"/>
            <w:vAlign w:val="center"/>
          </w:tcPr>
          <w:p>
            <w:pPr>
              <w:pStyle w:val="TableContents"/>
              <w:bidi w:val="0"/>
              <w:spacing w:before="0" w:after="283"/>
              <w:jc w:val="left"/>
              <w:rPr>
                <w:b/>
              </w:rPr>
            </w:pPr>
            <w:r>
              <w:rPr>
                <w:b/>
              </w:rPr>
              <w:t xml:space="preserve">Share-based compensation related to restricted stock, restricted stock units and stock options award, net of forfeitures of </w:t>
            </w:r>
            <w:bookmarkStart w:id="207" w:name="xdx_905_eus-gaap--StockIssuedDuringPerio"/>
            <w:bookmarkEnd w:id="207"/>
            <w:r>
              <w:rPr>
                <w:b/>
              </w:rPr>
              <w:t>336,437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8" w:name="xdx_98C_ecustom--SharebasedCompensationR"/>
            <w:bookmarkEnd w:id="208"/>
          </w:p>
        </w:tc>
        <w:tc>
          <w:tcPr>
            <w:tcW w:w="1100" w:type="dxa"/>
            <w:tcBorders/>
            <w:shd w:fill="CCEEFF" w:val="clear"/>
            <w:vAlign w:val="center"/>
          </w:tcPr>
          <w:p>
            <w:pPr>
              <w:pStyle w:val="TableContents"/>
              <w:bidi w:val="0"/>
              <w:spacing w:before="0" w:after="283"/>
              <w:jc w:val="right"/>
              <w:rPr>
                <w:b/>
              </w:rPr>
            </w:pPr>
            <w:r>
              <w:rPr>
                <w:b/>
              </w:rPr>
              <w:t>3,388,780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b/>
              </w:rPr>
            </w:pPr>
            <w:r>
              <w:rPr>
                <w:b/>
              </w:rPr>
              <w:t>4,322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4,323</w:t>
            </w:r>
          </w:p>
        </w:tc>
        <w:tc>
          <w:tcPr>
            <w:tcW w:w="116" w:type="dxa"/>
            <w:tcBorders/>
            <w:shd w:fill="CCEEFF" w:val="clear"/>
            <w:vAlign w:val="center"/>
          </w:tcPr>
          <w:p>
            <w:pPr>
              <w:pStyle w:val="TableContents"/>
              <w:bidi w:val="0"/>
              <w:spacing w:before="0" w:after="283"/>
              <w:jc w:val="left"/>
              <w:rPr/>
            </w:pPr>
            <w:r>
              <w:rPr/>
              <w:t> </w:t>
            </w:r>
            <w:bookmarkStart w:id="209" w:name="xdx_43B_c20260101__20260630_eus-gaap--St"/>
            <w:bookmarkEnd w:id="209"/>
          </w:p>
        </w:tc>
      </w:tr>
      <w:tr>
        <w:trPr/>
        <w:tc>
          <w:tcPr>
            <w:tcW w:w="2329" w:type="dxa"/>
            <w:tcBorders/>
            <w:shd w:fill="FFFFFF" w:val="clear"/>
            <w:vAlign w:val="center"/>
          </w:tcPr>
          <w:p>
            <w:pPr>
              <w:pStyle w:val="TableContents"/>
              <w:bidi w:val="0"/>
              <w:spacing w:before="0" w:after="283"/>
              <w:jc w:val="left"/>
              <w:rPr>
                <w:b/>
              </w:rPr>
            </w:pPr>
            <w:r>
              <w:rPr>
                <w:b/>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0" w:name="xdx_989_eus-gaap--SharesOutstanding_iE_p"/>
            <w:bookmarkEnd w:id="21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46,921,061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1" w:name="xdx_987_eus-gaap--SharesOutstanding_iE_p"/>
            <w:bookmarkEnd w:id="211"/>
          </w:p>
        </w:tc>
        <w:tc>
          <w:tcPr>
            <w:tcW w:w="64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212" w:name="xdx_F28_zcief2Pasvwg"/>
            <w:bookmarkEnd w:id="212"/>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361,811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(330,305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31,511</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125"/>
        <w:gridCol w:w="3605"/>
      </w:tblGrid>
      <w:tr>
        <w:trPr/>
        <w:tc>
          <w:tcPr>
            <w:tcW w:w="125" w:type="dxa"/>
            <w:tcBorders/>
            <w:vAlign w:val="center"/>
          </w:tcPr>
          <w:p>
            <w:pPr>
              <w:pStyle w:val="TableContents"/>
              <w:bidi w:val="0"/>
              <w:spacing w:before="0" w:after="283"/>
              <w:jc w:val="both"/>
              <w:rPr>
                <w:rFonts w:ascii="Times New Roman;Times;Serif" w:hAnsi="Times New Roman;Times;Serif"/>
                <w:b/>
                <w:sz w:val="20"/>
              </w:rPr>
            </w:pPr>
            <w:bookmarkStart w:id="213" w:name="xdx_F06_zsKTl3uHXKab"/>
            <w:bookmarkEnd w:id="213"/>
            <w:r>
              <w:rPr>
                <w:rFonts w:ascii="Times New Roman;Times;Serif" w:hAnsi="Times New Roman;Times;Serif"/>
                <w:b/>
                <w:sz w:val="20"/>
              </w:rPr>
              <w:t>*</w:t>
            </w:r>
          </w:p>
        </w:tc>
        <w:tc>
          <w:tcPr>
            <w:tcW w:w="3605" w:type="dxa"/>
            <w:tcBorders/>
            <w:vAlign w:val="center"/>
          </w:tcPr>
          <w:p>
            <w:pPr>
              <w:pStyle w:val="TableContents"/>
              <w:bidi w:val="0"/>
              <w:spacing w:before="0" w:after="283"/>
              <w:jc w:val="both"/>
              <w:rPr>
                <w:rFonts w:ascii="Times New Roman;Times;Serif" w:hAnsi="Times New Roman;Times;Serif"/>
                <w:sz w:val="20"/>
              </w:rPr>
            </w:pPr>
            <w:bookmarkStart w:id="214" w:name="xdx_F1B_zEu01ETaP1ic"/>
            <w:bookmarkEnd w:id="214"/>
            <w:r>
              <w:rPr>
                <w:rFonts w:ascii="Times New Roman;Times;Serif" w:hAnsi="Times New Roman;Times;Serif"/>
                <w:sz w:val="20"/>
              </w:rPr>
              <w:t>Represents an amount less than $1 thousand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8"/>
        <w:gridCol w:w="60"/>
        <w:gridCol w:w="60"/>
        <w:gridCol w:w="1100"/>
        <w:gridCol w:w="60"/>
        <w:gridCol w:w="60"/>
        <w:gridCol w:w="258"/>
        <w:gridCol w:w="602"/>
        <w:gridCol w:w="60"/>
        <w:gridCol w:w="60"/>
        <w:gridCol w:w="68"/>
        <w:gridCol w:w="649"/>
        <w:gridCol w:w="60"/>
        <w:gridCol w:w="60"/>
        <w:gridCol w:w="260"/>
        <w:gridCol w:w="608"/>
        <w:gridCol w:w="60"/>
        <w:gridCol w:w="60"/>
        <w:gridCol w:w="79"/>
        <w:gridCol w:w="1077"/>
        <w:gridCol w:w="60"/>
        <w:gridCol w:w="60"/>
        <w:gridCol w:w="87"/>
        <w:gridCol w:w="1283"/>
        <w:gridCol w:w="95"/>
        <w:gridCol w:w="60"/>
        <w:gridCol w:w="60"/>
        <w:gridCol w:w="755"/>
        <w:gridCol w:w="116"/>
      </w:tblGrid>
      <w:tr>
        <w:trPr/>
        <w:tc>
          <w:tcPr>
            <w:tcW w:w="23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5" w:name="xdx_4B5_us-gaap--StatementEquityComponen"/>
            <w:bookmarkEnd w:id="21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6" w:name="xdx_4B0_us-gaap--StatementEquityComponen"/>
            <w:bookmarkEnd w:id="216"/>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 w:name="xdx_4B6_us-gaap--StatementEquityComponen"/>
            <w:bookmarkEnd w:id="217"/>
          </w:p>
        </w:tc>
        <w:tc>
          <w:tcPr>
            <w:tcW w:w="11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8" w:name="xdx_4B9_us-gaap--StatementEquityComponen"/>
            <w:bookmarkEnd w:id="218"/>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9" w:name="xdx_4BB_zKtpJ1gGIyq"/>
            <w:bookmarkEnd w:id="219"/>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6" w:type="dxa"/>
            <w:tcBorders/>
            <w:vAlign w:val="center"/>
          </w:tcPr>
          <w:p>
            <w:pPr>
              <w:pStyle w:val="TableContents"/>
              <w:bidi w:val="0"/>
              <w:spacing w:before="0" w:after="283"/>
              <w:jc w:val="left"/>
              <w:rPr/>
            </w:pPr>
            <w:r>
              <w:rPr/>
              <w:t> </w:t>
            </w:r>
          </w:p>
        </w:tc>
      </w:tr>
      <w:tr>
        <w:trPr/>
        <w:tc>
          <w:tcPr>
            <w:tcW w:w="23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C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6"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Total</w:t>
            </w:r>
          </w:p>
        </w:tc>
        <w:tc>
          <w:tcPr>
            <w:tcW w:w="116" w:type="dxa"/>
            <w:tcBorders/>
            <w:vAlign w:val="center"/>
          </w:tcPr>
          <w:p>
            <w:pPr>
              <w:pStyle w:val="TableContents"/>
              <w:bidi w:val="0"/>
              <w:spacing w:before="0" w:after="283"/>
              <w:jc w:val="left"/>
              <w:rPr/>
            </w:pPr>
            <w:r>
              <w:rPr/>
              <w:t> </w:t>
            </w:r>
          </w:p>
        </w:tc>
      </w:tr>
      <w:tr>
        <w:trPr/>
        <w:tc>
          <w:tcPr>
            <w:tcW w:w="23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6" w:type="dxa"/>
            <w:tcBorders/>
            <w:vAlign w:val="center"/>
          </w:tcPr>
          <w:p>
            <w:pPr>
              <w:pStyle w:val="TableContents"/>
              <w:bidi w:val="0"/>
              <w:spacing w:before="0" w:after="283"/>
              <w:jc w:val="left"/>
              <w:rPr/>
            </w:pPr>
            <w:r>
              <w:rPr/>
              <w:t> </w:t>
            </w:r>
          </w:p>
        </w:tc>
      </w:tr>
      <w:tr>
        <w:trPr/>
        <w:tc>
          <w:tcPr>
            <w:tcW w:w="23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bookmarkStart w:id="220" w:name="xdx_435_c20260401__20260630_eus-gaap--St"/>
            <w:bookmarkEnd w:id="220"/>
          </w:p>
        </w:tc>
      </w:tr>
      <w:tr>
        <w:trPr/>
        <w:tc>
          <w:tcPr>
            <w:tcW w:w="2328" w:type="dxa"/>
            <w:tcBorders/>
            <w:shd w:fill="CCEEFF" w:val="clear"/>
            <w:vAlign w:val="center"/>
          </w:tcPr>
          <w:p>
            <w:pPr>
              <w:pStyle w:val="TableContents"/>
              <w:bidi w:val="0"/>
              <w:spacing w:before="0" w:after="283"/>
              <w:jc w:val="left"/>
              <w:rPr>
                <w:b/>
              </w:rPr>
            </w:pPr>
            <w:r>
              <w:rPr>
                <w:b/>
              </w:rPr>
              <w:t>BALANCE AT April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1" w:name="xdx_983_eus-gaap--SharesOutstanding_iS_p"/>
            <w:bookmarkEnd w:id="221"/>
          </w:p>
        </w:tc>
        <w:tc>
          <w:tcPr>
            <w:tcW w:w="1100" w:type="dxa"/>
            <w:tcBorders/>
            <w:shd w:fill="CCEEFF" w:val="clear"/>
            <w:vAlign w:val="center"/>
          </w:tcPr>
          <w:p>
            <w:pPr>
              <w:pStyle w:val="TableContents"/>
              <w:bidi w:val="0"/>
              <w:spacing w:before="0" w:after="283"/>
              <w:jc w:val="right"/>
              <w:rPr>
                <w:b/>
              </w:rPr>
            </w:pPr>
            <w:r>
              <w:rPr>
                <w:b/>
              </w:rPr>
              <w:t>46,838,963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222" w:name="xdx_98F_eus-gaap--SharesOutstanding_iS_p"/>
            <w:bookmarkEnd w:id="222"/>
          </w:p>
        </w:tc>
        <w:tc>
          <w:tcPr>
            <w:tcW w:w="649" w:type="dxa"/>
            <w:tcBorders/>
            <w:shd w:fill="CCEEFF" w:val="clear"/>
            <w:vAlign w:val="center"/>
          </w:tcPr>
          <w:p>
            <w:pPr>
              <w:pStyle w:val="TableContents"/>
              <w:bidi w:val="0"/>
              <w:spacing w:before="0" w:after="283"/>
              <w:jc w:val="right"/>
              <w:rPr>
                <w:b/>
              </w:rPr>
            </w:pPr>
            <w:r>
              <w:rPr>
                <w:b/>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223" w:name="xdx_F27_z0a2Qh0xQ4od"/>
            <w:bookmarkEnd w:id="223"/>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b/>
              </w:rPr>
            </w:pPr>
            <w:r>
              <w:rPr>
                <w:b/>
              </w:rPr>
              <w:t>359,594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(315,981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43,617</w:t>
            </w:r>
          </w:p>
        </w:tc>
        <w:tc>
          <w:tcPr>
            <w:tcW w:w="116" w:type="dxa"/>
            <w:tcBorders/>
            <w:shd w:fill="CCEEFF" w:val="clear"/>
            <w:vAlign w:val="center"/>
          </w:tcPr>
          <w:p>
            <w:pPr>
              <w:pStyle w:val="TableContents"/>
              <w:bidi w:val="0"/>
              <w:spacing w:before="0" w:after="283"/>
              <w:jc w:val="left"/>
              <w:rPr/>
            </w:pPr>
            <w:r>
              <w:rPr/>
              <w:t> </w:t>
            </w:r>
            <w:bookmarkStart w:id="224" w:name="xdx_43A_c20260401__20260630_eus-gaap--St"/>
            <w:bookmarkEnd w:id="224"/>
          </w:p>
        </w:tc>
      </w:tr>
      <w:tr>
        <w:trPr/>
        <w:tc>
          <w:tcPr>
            <w:tcW w:w="2328"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5" w:name="xdx_986_eus-gaap--SharesOutstanding_iS_p"/>
            <w:bookmarkEnd w:id="225"/>
          </w:p>
        </w:tc>
        <w:tc>
          <w:tcPr>
            <w:tcW w:w="1100" w:type="dxa"/>
            <w:tcBorders/>
            <w:shd w:fill="CCEEFF" w:val="clear"/>
            <w:vAlign w:val="center"/>
          </w:tcPr>
          <w:p>
            <w:pPr>
              <w:pStyle w:val="TableContents"/>
              <w:bidi w:val="0"/>
              <w:spacing w:before="0" w:after="283"/>
              <w:jc w:val="right"/>
              <w:rPr>
                <w:b/>
              </w:rPr>
            </w:pPr>
            <w:r>
              <w:rPr>
                <w:b/>
              </w:rPr>
              <w:t>46,838,963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226" w:name="xdx_986_eus-gaap--SharesOutstanding_iS_p"/>
            <w:bookmarkEnd w:id="226"/>
          </w:p>
        </w:tc>
        <w:tc>
          <w:tcPr>
            <w:tcW w:w="649" w:type="dxa"/>
            <w:tcBorders/>
            <w:shd w:fill="CCEEFF" w:val="clear"/>
            <w:vAlign w:val="center"/>
          </w:tcPr>
          <w:p>
            <w:pPr>
              <w:pStyle w:val="TableContents"/>
              <w:bidi w:val="0"/>
              <w:spacing w:before="0" w:after="283"/>
              <w:jc w:val="right"/>
              <w:rPr>
                <w:b/>
              </w:rPr>
            </w:pPr>
            <w:r>
              <w:rPr>
                <w:b/>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227" w:name="xdx_F21_zIQiDBFzCFvk"/>
            <w:bookmarkEnd w:id="227"/>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b/>
              </w:rPr>
            </w:pPr>
            <w:r>
              <w:rPr>
                <w:b/>
              </w:rPr>
              <w:t>359,594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(315,981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43,617</w:t>
            </w:r>
          </w:p>
        </w:tc>
        <w:tc>
          <w:tcPr>
            <w:tcW w:w="116" w:type="dxa"/>
            <w:tcBorders/>
            <w:shd w:fill="CCEEFF" w:val="clear"/>
            <w:vAlign w:val="center"/>
          </w:tcPr>
          <w:p>
            <w:pPr>
              <w:pStyle w:val="TableContents"/>
              <w:bidi w:val="0"/>
              <w:spacing w:before="0" w:after="283"/>
              <w:jc w:val="left"/>
              <w:rPr/>
            </w:pPr>
            <w:r>
              <w:rPr/>
              <w:t> </w:t>
            </w:r>
            <w:bookmarkStart w:id="228" w:name="xdx_40B_eus-gaap--NetIncomeLoss_zw0LN38K"/>
            <w:bookmarkEnd w:id="228"/>
          </w:p>
        </w:tc>
      </w:tr>
      <w:tr>
        <w:trPr/>
        <w:tc>
          <w:tcPr>
            <w:tcW w:w="2328"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(14,324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(14,324</w:t>
            </w:r>
          </w:p>
        </w:tc>
        <w:tc>
          <w:tcPr>
            <w:tcW w:w="116" w:type="dxa"/>
            <w:tcBorders/>
            <w:shd w:fill="FFFFFF" w:val="clear"/>
            <w:vAlign w:val="center"/>
          </w:tcPr>
          <w:p>
            <w:pPr>
              <w:pStyle w:val="TableContents"/>
              <w:bidi w:val="0"/>
              <w:spacing w:before="0" w:after="283"/>
              <w:jc w:val="left"/>
              <w:rPr>
                <w:b/>
              </w:rPr>
            </w:pPr>
            <w:r>
              <w:rPr>
                <w:b/>
              </w:rPr>
              <w:t>)</w:t>
            </w:r>
            <w:bookmarkStart w:id="229" w:name="xdx_404_ecustom--SharebasedCompensationR"/>
            <w:bookmarkEnd w:id="229"/>
          </w:p>
        </w:tc>
      </w:tr>
      <w:tr>
        <w:trPr/>
        <w:tc>
          <w:tcPr>
            <w:tcW w:w="2328" w:type="dxa"/>
            <w:tcBorders/>
            <w:shd w:fill="CCEEFF" w:val="clear"/>
            <w:vAlign w:val="center"/>
          </w:tcPr>
          <w:p>
            <w:pPr>
              <w:pStyle w:val="TableContents"/>
              <w:bidi w:val="0"/>
              <w:spacing w:before="0" w:after="283"/>
              <w:jc w:val="left"/>
              <w:rPr>
                <w:b/>
              </w:rPr>
            </w:pPr>
            <w:r>
              <w:rPr>
                <w:b/>
              </w:rPr>
              <w:t xml:space="preserve">Share-based compensation related to restricted stock, restricted stock units and stock options award, net of forfeitures of </w:t>
            </w:r>
            <w:bookmarkStart w:id="230" w:name="xdx_906_eus-gaap--StockIssuedDuringPerio"/>
            <w:bookmarkEnd w:id="230"/>
            <w:r>
              <w:rPr>
                <w:b/>
              </w:rPr>
              <w:t>60,064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1" w:name="xdx_98F_ecustom--SharebasedCompensationR"/>
            <w:bookmarkEnd w:id="231"/>
          </w:p>
        </w:tc>
        <w:tc>
          <w:tcPr>
            <w:tcW w:w="1100" w:type="dxa"/>
            <w:tcBorders/>
            <w:shd w:fill="CCEEFF" w:val="clear"/>
            <w:vAlign w:val="center"/>
          </w:tcPr>
          <w:p>
            <w:pPr>
              <w:pStyle w:val="TableContents"/>
              <w:bidi w:val="0"/>
              <w:spacing w:before="0" w:after="283"/>
              <w:jc w:val="right"/>
              <w:rPr>
                <w:b/>
              </w:rPr>
            </w:pPr>
            <w:r>
              <w:rPr>
                <w:b/>
              </w:rPr>
              <w:t>82,098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b/>
              </w:rPr>
            </w:pPr>
            <w:r>
              <w:rPr>
                <w:b/>
              </w:rPr>
              <w:t>2,217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2,218</w:t>
            </w:r>
          </w:p>
        </w:tc>
        <w:tc>
          <w:tcPr>
            <w:tcW w:w="116" w:type="dxa"/>
            <w:tcBorders/>
            <w:shd w:fill="CCEEFF" w:val="clear"/>
            <w:vAlign w:val="center"/>
          </w:tcPr>
          <w:p>
            <w:pPr>
              <w:pStyle w:val="TableContents"/>
              <w:bidi w:val="0"/>
              <w:spacing w:before="0" w:after="283"/>
              <w:jc w:val="left"/>
              <w:rPr/>
            </w:pPr>
            <w:r>
              <w:rPr/>
              <w:t> </w:t>
            </w:r>
            <w:bookmarkStart w:id="232" w:name="xdx_403_ecustom--SharebasedCompensationR"/>
            <w:bookmarkEnd w:id="232"/>
          </w:p>
        </w:tc>
      </w:tr>
      <w:tr>
        <w:trPr/>
        <w:tc>
          <w:tcPr>
            <w:tcW w:w="2328" w:type="dxa"/>
            <w:tcBorders/>
            <w:shd w:fill="CCEEFF" w:val="clear"/>
            <w:vAlign w:val="center"/>
          </w:tcPr>
          <w:p>
            <w:pPr>
              <w:pStyle w:val="TableContents"/>
              <w:bidi w:val="0"/>
              <w:spacing w:before="0" w:after="283"/>
              <w:jc w:val="left"/>
              <w:rPr>
                <w:b/>
              </w:rPr>
            </w:pPr>
            <w:r>
              <w:rPr>
                <w:b/>
              </w:rPr>
              <w:t>Share-based compensation related to restricted stock, restricted stock units and stock options award, net of forfeitures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3" w:name="xdx_981_ecustom--SharebasedCompensationR"/>
            <w:bookmarkEnd w:id="233"/>
          </w:p>
        </w:tc>
        <w:tc>
          <w:tcPr>
            <w:tcW w:w="1100" w:type="dxa"/>
            <w:tcBorders/>
            <w:shd w:fill="CCEEFF" w:val="clear"/>
            <w:vAlign w:val="center"/>
          </w:tcPr>
          <w:p>
            <w:pPr>
              <w:pStyle w:val="TableContents"/>
              <w:bidi w:val="0"/>
              <w:spacing w:before="0" w:after="283"/>
              <w:jc w:val="right"/>
              <w:rPr>
                <w:b/>
              </w:rPr>
            </w:pPr>
            <w:r>
              <w:rPr>
                <w:b/>
              </w:rPr>
              <w:t>82,098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b/>
              </w:rPr>
            </w:pPr>
            <w:r>
              <w:rPr>
                <w:b/>
              </w:rPr>
              <w:t>2,217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2,218</w:t>
            </w:r>
          </w:p>
        </w:tc>
        <w:tc>
          <w:tcPr>
            <w:tcW w:w="116" w:type="dxa"/>
            <w:tcBorders/>
            <w:shd w:fill="CCEEFF" w:val="clear"/>
            <w:vAlign w:val="center"/>
          </w:tcPr>
          <w:p>
            <w:pPr>
              <w:pStyle w:val="TableContents"/>
              <w:bidi w:val="0"/>
              <w:spacing w:before="0" w:after="283"/>
              <w:jc w:val="left"/>
              <w:rPr/>
            </w:pPr>
            <w:r>
              <w:rPr/>
              <w:t> </w:t>
            </w:r>
            <w:bookmarkStart w:id="234" w:name="xdx_439_c20260401__20260630_eus-gaap--St"/>
            <w:bookmarkEnd w:id="234"/>
          </w:p>
        </w:tc>
      </w:tr>
      <w:tr>
        <w:trPr/>
        <w:tc>
          <w:tcPr>
            <w:tcW w:w="2328" w:type="dxa"/>
            <w:tcBorders/>
            <w:shd w:fill="FFFFFF" w:val="clear"/>
            <w:vAlign w:val="center"/>
          </w:tcPr>
          <w:p>
            <w:pPr>
              <w:pStyle w:val="TableContents"/>
              <w:bidi w:val="0"/>
              <w:spacing w:before="0" w:after="283"/>
              <w:jc w:val="left"/>
              <w:rPr>
                <w:b/>
              </w:rPr>
            </w:pPr>
            <w:r>
              <w:rPr>
                <w:b/>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35" w:name="xdx_985_eus-gaap--SharesOutstanding_iE_p"/>
            <w:bookmarkEnd w:id="235"/>
          </w:p>
        </w:tc>
        <w:tc>
          <w:tcPr>
            <w:tcW w:w="1100" w:type="dxa"/>
            <w:tcBorders>
              <w:bottom w:val="double" w:sz="6" w:space="0" w:color="000000"/>
            </w:tcBorders>
            <w:shd w:fill="FFFFFF" w:val="clear"/>
            <w:tcMar>
              <w:bottom w:w="28" w:type="dxa"/>
            </w:tcMar>
            <w:vAlign w:val="center"/>
          </w:tcPr>
          <w:p>
            <w:pPr>
              <w:pStyle w:val="TableContents"/>
              <w:bidi w:val="0"/>
              <w:spacing w:before="0" w:after="283"/>
              <w:jc w:val="center"/>
              <w:rPr>
                <w:b/>
              </w:rPr>
            </w:pPr>
            <w:r>
              <w:rPr>
                <w:b/>
              </w:rPr>
              <w:t>46,921,061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36" w:name="xdx_987_eus-gaap--SharesOutstanding_iE_p"/>
            <w:bookmarkEnd w:id="236"/>
          </w:p>
        </w:tc>
        <w:tc>
          <w:tcPr>
            <w:tcW w:w="64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237" w:name="xdx_F25_zCdlSeDra9M6"/>
            <w:bookmarkEnd w:id="237"/>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361,811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(330,305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31,511</w:t>
            </w:r>
          </w:p>
        </w:tc>
        <w:tc>
          <w:tcPr>
            <w:tcW w:w="116" w:type="dxa"/>
            <w:tcBorders/>
            <w:shd w:fill="FFFFFF" w:val="clear"/>
            <w:vAlign w:val="center"/>
          </w:tcPr>
          <w:p>
            <w:pPr>
              <w:pStyle w:val="TableContents"/>
              <w:bidi w:val="0"/>
              <w:spacing w:before="0" w:after="283"/>
              <w:jc w:val="left"/>
              <w:rPr/>
            </w:pPr>
            <w:r>
              <w:rPr/>
              <w:t> </w:t>
            </w:r>
            <w:bookmarkStart w:id="238" w:name="xdx_438_c20260401__20260630_eus-gaap--St"/>
            <w:bookmarkEnd w:id="238"/>
          </w:p>
        </w:tc>
      </w:tr>
      <w:tr>
        <w:trPr/>
        <w:tc>
          <w:tcPr>
            <w:tcW w:w="2328"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39" w:name="xdx_987_eus-gaap--SharesOutstanding_iE_p"/>
            <w:bookmarkEnd w:id="239"/>
          </w:p>
        </w:tc>
        <w:tc>
          <w:tcPr>
            <w:tcW w:w="1100" w:type="dxa"/>
            <w:tcBorders>
              <w:bottom w:val="double" w:sz="6" w:space="0" w:color="000000"/>
            </w:tcBorders>
            <w:shd w:fill="FFFFFF" w:val="clear"/>
            <w:tcMar>
              <w:bottom w:w="28" w:type="dxa"/>
            </w:tcMar>
            <w:vAlign w:val="center"/>
          </w:tcPr>
          <w:p>
            <w:pPr>
              <w:pStyle w:val="TableContents"/>
              <w:bidi w:val="0"/>
              <w:spacing w:before="0" w:after="283"/>
              <w:jc w:val="center"/>
              <w:rPr>
                <w:b/>
              </w:rPr>
            </w:pPr>
            <w:r>
              <w:rPr>
                <w:b/>
              </w:rPr>
              <w:t>46,921,061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40" w:name="xdx_98F_eus-gaap--SharesOutstanding_iE_p"/>
            <w:bookmarkEnd w:id="240"/>
          </w:p>
        </w:tc>
        <w:tc>
          <w:tcPr>
            <w:tcW w:w="64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241" w:name="xdx_F24_z5Wnoi4N5Xd6"/>
            <w:bookmarkEnd w:id="241"/>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361,811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(330,305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31,511</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125"/>
        <w:gridCol w:w="3605"/>
      </w:tblGrid>
      <w:tr>
        <w:trPr/>
        <w:tc>
          <w:tcPr>
            <w:tcW w:w="125" w:type="dxa"/>
            <w:tcBorders/>
            <w:vAlign w:val="center"/>
          </w:tcPr>
          <w:p>
            <w:pPr>
              <w:pStyle w:val="TableContents"/>
              <w:bidi w:val="0"/>
              <w:spacing w:before="0" w:after="283"/>
              <w:jc w:val="both"/>
              <w:rPr>
                <w:rFonts w:ascii="Times New Roman;Times;Serif" w:hAnsi="Times New Roman;Times;Serif"/>
                <w:b/>
                <w:sz w:val="20"/>
              </w:rPr>
            </w:pPr>
            <w:bookmarkStart w:id="242" w:name="xdx_F09_zIXFhCkNiv2a"/>
            <w:bookmarkEnd w:id="242"/>
            <w:r>
              <w:rPr>
                <w:rFonts w:ascii="Times New Roman;Times;Serif" w:hAnsi="Times New Roman;Times;Serif"/>
                <w:b/>
                <w:sz w:val="20"/>
              </w:rPr>
              <w:t>*</w:t>
            </w:r>
          </w:p>
        </w:tc>
        <w:tc>
          <w:tcPr>
            <w:tcW w:w="3605" w:type="dxa"/>
            <w:tcBorders/>
            <w:vAlign w:val="center"/>
          </w:tcPr>
          <w:p>
            <w:pPr>
              <w:pStyle w:val="TableContents"/>
              <w:bidi w:val="0"/>
              <w:spacing w:before="0" w:after="283"/>
              <w:jc w:val="both"/>
              <w:rPr>
                <w:rFonts w:ascii="Times New Roman;Times;Serif" w:hAnsi="Times New Roman;Times;Serif"/>
                <w:sz w:val="20"/>
              </w:rPr>
            </w:pPr>
            <w:bookmarkStart w:id="243" w:name="xdx_F1D_zllM0ZOwk0q7"/>
            <w:bookmarkEnd w:id="243"/>
            <w:r>
              <w:rPr>
                <w:rFonts w:ascii="Times New Roman;Times;Serif" w:hAnsi="Times New Roman;Times;Serif"/>
                <w:sz w:val="20"/>
              </w:rPr>
              <w:t>Represents an amount less than $1 thousand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4" w:name="FIN_004"/>
      <w:bookmarkEnd w:id="244"/>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5" w:name="xdx_307_112_pn3n3_z8fFPItzZ8hh"/>
      <w:bookmarkStart w:id="246" w:name="xdx_307_112_pn3n3_z8fFPItzZ8hh"/>
      <w:bookmarkEnd w:id="246"/>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247" w:name="xdx_49D_20260101__20260630_zUt7hk7TKNd4"/>
            <w:bookmarkEnd w:id="247"/>
          </w:p>
        </w:tc>
        <w:tc>
          <w:tcPr>
            <w:tcW w:w="75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48" w:name="xdx_490_20250101__20250630_zNHB5GQODDS1"/>
            <w:bookmarkEnd w:id="248"/>
          </w:p>
        </w:tc>
        <w:tc>
          <w:tcPr>
            <w:tcW w:w="75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110" w:type="dxa"/>
            <w:tcBorders/>
            <w:shd w:fill="FFFFFF" w:val="clear"/>
            <w:vAlign w:val="center"/>
          </w:tcPr>
          <w:p>
            <w:pPr>
              <w:pStyle w:val="TableContents"/>
              <w:bidi w:val="0"/>
              <w:spacing w:before="0" w:after="283"/>
              <w:jc w:val="left"/>
              <w:rPr/>
            </w:pPr>
            <w:r>
              <w:rPr/>
              <w:t> </w:t>
            </w:r>
            <w:bookmarkStart w:id="249" w:name="xdx_40F_eus-gaap--NetCashProvidedByUsedI"/>
            <w:bookmarkEnd w:id="249"/>
          </w:p>
        </w:tc>
      </w:tr>
      <w:tr>
        <w:trPr/>
        <w:tc>
          <w:tcPr>
            <w:tcW w:w="809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0" w:name="xdx_40F_eus-gaap--NetIncomeLoss_i01_maNC"/>
            <w:bookmarkEnd w:id="250"/>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(28,013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(24,317</w:t>
            </w:r>
          </w:p>
        </w:tc>
        <w:tc>
          <w:tcPr>
            <w:tcW w:w="110" w:type="dxa"/>
            <w:tcBorders/>
            <w:shd w:fill="FFFFFF" w:val="clear"/>
            <w:vAlign w:val="center"/>
          </w:tcPr>
          <w:p>
            <w:pPr>
              <w:pStyle w:val="TableContents"/>
              <w:bidi w:val="0"/>
              <w:spacing w:before="0" w:after="283"/>
              <w:jc w:val="left"/>
              <w:rPr/>
            </w:pPr>
            <w:r>
              <w:rPr/>
              <w:t>)</w:t>
            </w:r>
            <w:bookmarkStart w:id="251" w:name="xdx_400_eus-gaap--AdjustmentsNoncashItem"/>
            <w:bookmarkEnd w:id="251"/>
          </w:p>
        </w:tc>
      </w:tr>
      <w:tr>
        <w:trPr/>
        <w:tc>
          <w:tcPr>
            <w:tcW w:w="8090" w:type="dxa"/>
            <w:tcBorders/>
            <w:shd w:fill="CCEEFF" w:val="clear"/>
            <w:vAlign w:val="center"/>
          </w:tcPr>
          <w:p>
            <w:pPr>
              <w:pStyle w:val="TableContents"/>
              <w:bidi w:val="0"/>
              <w:spacing w:before="0" w:after="283"/>
              <w:jc w:val="left"/>
              <w:rPr/>
            </w:pPr>
            <w:r>
              <w:rPr/>
              <w:t>Adjustments required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2" w:name="xdx_401_eus-gaap--Depreciation_i02_maNCP"/>
            <w:bookmarkEnd w:id="252"/>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205</w:t>
            </w:r>
          </w:p>
        </w:tc>
        <w:tc>
          <w:tcPr>
            <w:tcW w:w="110" w:type="dxa"/>
            <w:tcBorders/>
            <w:shd w:fill="FFFFFF" w:val="clear"/>
            <w:vAlign w:val="center"/>
          </w:tcPr>
          <w:p>
            <w:pPr>
              <w:pStyle w:val="TableContents"/>
              <w:bidi w:val="0"/>
              <w:spacing w:before="0" w:after="283"/>
              <w:jc w:val="left"/>
              <w:rPr/>
            </w:pPr>
            <w:r>
              <w:rPr/>
              <w:t> </w:t>
            </w:r>
            <w:bookmarkStart w:id="253" w:name="xdx_405_ecustom--ChangesInFairValueOfMar"/>
            <w:bookmarkEnd w:id="253"/>
          </w:p>
        </w:tc>
      </w:tr>
      <w:tr>
        <w:trPr/>
        <w:tc>
          <w:tcPr>
            <w:tcW w:w="8090" w:type="dxa"/>
            <w:tcBorders/>
            <w:shd w:fill="CCEEFF" w:val="clear"/>
            <w:vAlign w:val="center"/>
          </w:tcPr>
          <w:p>
            <w:pPr>
              <w:pStyle w:val="TableContents"/>
              <w:bidi w:val="0"/>
              <w:spacing w:before="0" w:after="283"/>
              <w:jc w:val="left"/>
              <w:rPr/>
            </w:pPr>
            <w:r>
              <w:rPr/>
              <w:t>Change in fair value of marketable securities, net of interest received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(155</w:t>
            </w:r>
          </w:p>
        </w:tc>
        <w:tc>
          <w:tcPr>
            <w:tcW w:w="110" w:type="dxa"/>
            <w:tcBorders/>
            <w:shd w:fill="CCEEFF" w:val="clear"/>
            <w:vAlign w:val="center"/>
          </w:tcPr>
          <w:p>
            <w:pPr>
              <w:pStyle w:val="TableContents"/>
              <w:bidi w:val="0"/>
              <w:spacing w:before="0" w:after="283"/>
              <w:jc w:val="left"/>
              <w:rPr/>
            </w:pPr>
            <w:r>
              <w:rPr/>
              <w:t>)</w:t>
            </w:r>
            <w:bookmarkStart w:id="254" w:name="xdx_401_ecustom--ChangeInLiabilityForEmp"/>
            <w:bookmarkEnd w:id="254"/>
          </w:p>
        </w:tc>
      </w:tr>
      <w:tr>
        <w:trPr/>
        <w:tc>
          <w:tcPr>
            <w:tcW w:w="8090" w:type="dxa"/>
            <w:tcBorders/>
            <w:shd w:fill="FFFFFF" w:val="clear"/>
            <w:vAlign w:val="center"/>
          </w:tcPr>
          <w:p>
            <w:pPr>
              <w:pStyle w:val="TableContents"/>
              <w:bidi w:val="0"/>
              <w:spacing w:before="0" w:after="283"/>
              <w:jc w:val="left"/>
              <w:rPr/>
            </w:pPr>
            <w:r>
              <w:rPr/>
              <w:t>Change in liability for employee rights upon retirement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277</w:t>
            </w:r>
          </w:p>
        </w:tc>
        <w:tc>
          <w:tcPr>
            <w:tcW w:w="110" w:type="dxa"/>
            <w:tcBorders/>
            <w:shd w:fill="FFFFFF" w:val="clear"/>
            <w:vAlign w:val="center"/>
          </w:tcPr>
          <w:p>
            <w:pPr>
              <w:pStyle w:val="TableContents"/>
              <w:bidi w:val="0"/>
              <w:spacing w:before="0" w:after="283"/>
              <w:jc w:val="left"/>
              <w:rPr/>
            </w:pPr>
            <w:r>
              <w:rPr/>
              <w:t> </w:t>
            </w:r>
            <w:bookmarkStart w:id="255" w:name="xdx_40C_eus-gaap--OtherNoncashIncomeExpe"/>
            <w:bookmarkEnd w:id="255"/>
          </w:p>
        </w:tc>
      </w:tr>
      <w:tr>
        <w:trPr/>
        <w:tc>
          <w:tcPr>
            <w:tcW w:w="8090" w:type="dxa"/>
            <w:tcBorders/>
            <w:shd w:fill="CCEEFF" w:val="clear"/>
            <w:vAlign w:val="center"/>
          </w:tcPr>
          <w:p>
            <w:pPr>
              <w:pStyle w:val="TableContents"/>
              <w:bidi w:val="0"/>
              <w:spacing w:before="0" w:after="283"/>
              <w:jc w:val="left"/>
              <w:rPr/>
            </w:pPr>
            <w:r>
              <w:rPr/>
              <w:t>Other financial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w:t>
            </w:r>
          </w:p>
        </w:tc>
        <w:tc>
          <w:tcPr>
            <w:tcW w:w="110" w:type="dxa"/>
            <w:tcBorders/>
            <w:shd w:fill="CCEEFF" w:val="clear"/>
            <w:vAlign w:val="center"/>
          </w:tcPr>
          <w:p>
            <w:pPr>
              <w:pStyle w:val="TableContents"/>
              <w:bidi w:val="0"/>
              <w:spacing w:before="0" w:after="283"/>
              <w:jc w:val="left"/>
              <w:rPr/>
            </w:pPr>
            <w:r>
              <w:rPr/>
              <w:t>)</w:t>
            </w:r>
            <w:bookmarkStart w:id="256" w:name="xdx_402_ecustom--ChangeInRightOfUseAsset"/>
            <w:bookmarkEnd w:id="256"/>
          </w:p>
        </w:tc>
      </w:tr>
      <w:tr>
        <w:trPr/>
        <w:tc>
          <w:tcPr>
            <w:tcW w:w="8090" w:type="dxa"/>
            <w:tcBorders/>
            <w:shd w:fill="FFFFFF" w:val="clear"/>
            <w:vAlign w:val="center"/>
          </w:tcPr>
          <w:p>
            <w:pPr>
              <w:pStyle w:val="TableContents"/>
              <w:bidi w:val="0"/>
              <w:spacing w:before="0" w:after="283"/>
              <w:jc w:val="left"/>
              <w:rPr/>
            </w:pPr>
            <w:r>
              <w:rPr/>
              <w:t>Change in operating right of use asset and operating leasing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377</w:t>
            </w:r>
          </w:p>
        </w:tc>
        <w:tc>
          <w:tcPr>
            <w:tcW w:w="110" w:type="dxa"/>
            <w:tcBorders/>
            <w:shd w:fill="FFFFFF" w:val="clear"/>
            <w:vAlign w:val="center"/>
          </w:tcPr>
          <w:p>
            <w:pPr>
              <w:pStyle w:val="TableContents"/>
              <w:bidi w:val="0"/>
              <w:spacing w:before="0" w:after="283"/>
              <w:jc w:val="left"/>
              <w:rPr/>
            </w:pPr>
            <w:r>
              <w:rPr/>
              <w:t> </w:t>
            </w:r>
            <w:bookmarkStart w:id="257" w:name="xdx_406_eus-gaap--ShareBasedCompensation"/>
            <w:bookmarkEnd w:id="257"/>
          </w:p>
        </w:tc>
      </w:tr>
      <w:tr>
        <w:trPr/>
        <w:tc>
          <w:tcPr>
            <w:tcW w:w="8090"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5,940</w:t>
            </w:r>
          </w:p>
        </w:tc>
        <w:tc>
          <w:tcPr>
            <w:tcW w:w="110" w:type="dxa"/>
            <w:tcBorders/>
            <w:shd w:fill="CCEEFF" w:val="clear"/>
            <w:vAlign w:val="center"/>
          </w:tcPr>
          <w:p>
            <w:pPr>
              <w:pStyle w:val="TableContents"/>
              <w:bidi w:val="0"/>
              <w:spacing w:before="0" w:after="283"/>
              <w:jc w:val="left"/>
              <w:rPr/>
            </w:pPr>
            <w:r>
              <w:rPr/>
              <w:t> </w:t>
            </w:r>
            <w:bookmarkStart w:id="258" w:name="xdx_402_ecustom--LossGainOnAmountsFunded"/>
            <w:bookmarkEnd w:id="258"/>
          </w:p>
        </w:tc>
      </w:tr>
      <w:tr>
        <w:trPr/>
        <w:tc>
          <w:tcPr>
            <w:tcW w:w="8090" w:type="dxa"/>
            <w:tcBorders/>
            <w:shd w:fill="FFFFFF" w:val="clear"/>
            <w:vAlign w:val="center"/>
          </w:tcPr>
          <w:p>
            <w:pPr>
              <w:pStyle w:val="TableContents"/>
              <w:bidi w:val="0"/>
              <w:spacing w:before="0" w:after="283"/>
              <w:jc w:val="left"/>
              <w:rPr/>
            </w:pPr>
            <w:r>
              <w:rPr/>
              <w:t>Gains on amounts funded in respect of employee rights upon retirement,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(95</w:t>
            </w:r>
          </w:p>
        </w:tc>
        <w:tc>
          <w:tcPr>
            <w:tcW w:w="110" w:type="dxa"/>
            <w:tcBorders/>
            <w:shd w:fill="FFFFFF" w:val="clear"/>
            <w:vAlign w:val="center"/>
          </w:tcPr>
          <w:p>
            <w:pPr>
              <w:pStyle w:val="TableContents"/>
              <w:bidi w:val="0"/>
              <w:spacing w:before="0" w:after="283"/>
              <w:jc w:val="left"/>
              <w:rPr/>
            </w:pPr>
            <w:r>
              <w:rPr/>
              <w:t>)</w:t>
            </w:r>
            <w:bookmarkStart w:id="259" w:name="xdx_405_eus-gaap--IncreaseDecreaseInOper"/>
            <w:bookmarkEnd w:id="259"/>
          </w:p>
        </w:tc>
      </w:tr>
      <w:tr>
        <w:trPr/>
        <w:tc>
          <w:tcPr>
            <w:tcW w:w="8090" w:type="dxa"/>
            <w:tcBorders/>
            <w:shd w:fill="CCEEFF" w:val="clear"/>
            <w:vAlign w:val="center"/>
          </w:tcPr>
          <w:p>
            <w:pPr>
              <w:pStyle w:val="TableContents"/>
              <w:bidi w:val="0"/>
              <w:spacing w:before="0" w:after="283"/>
              <w:jc w:val="left"/>
              <w:rPr/>
            </w:pPr>
            <w:r>
              <w:rPr/>
              <w:t>Changes in operating assets and liability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0" w:name="xdx_407_eus-gaap--IncreaseDecreaseInPrep"/>
            <w:bookmarkEnd w:id="260"/>
          </w:p>
        </w:tc>
      </w:tr>
      <w:tr>
        <w:trPr/>
        <w:tc>
          <w:tcPr>
            <w:tcW w:w="8090" w:type="dxa"/>
            <w:tcBorders/>
            <w:shd w:fill="FFFFFF" w:val="clear"/>
            <w:vAlign w:val="center"/>
          </w:tcPr>
          <w:p>
            <w:pPr>
              <w:pStyle w:val="TableContents"/>
              <w:bidi w:val="0"/>
              <w:spacing w:before="0" w:after="283"/>
              <w:jc w:val="left"/>
              <w:rPr/>
            </w:pPr>
            <w:r>
              <w:rPr/>
              <w:t>Decrease in 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113</w:t>
            </w:r>
          </w:p>
        </w:tc>
        <w:tc>
          <w:tcPr>
            <w:tcW w:w="110" w:type="dxa"/>
            <w:tcBorders/>
            <w:shd w:fill="FFFFFF" w:val="clear"/>
            <w:vAlign w:val="center"/>
          </w:tcPr>
          <w:p>
            <w:pPr>
              <w:pStyle w:val="TableContents"/>
              <w:bidi w:val="0"/>
              <w:spacing w:before="0" w:after="283"/>
              <w:jc w:val="left"/>
              <w:rPr/>
            </w:pPr>
            <w:r>
              <w:rPr/>
              <w:t> </w:t>
            </w:r>
            <w:bookmarkStart w:id="261" w:name="xdx_40C_eus-gaap--IncreaseDecreaseInAcco"/>
            <w:bookmarkEnd w:id="261"/>
          </w:p>
        </w:tc>
      </w:tr>
      <w:tr>
        <w:trPr/>
        <w:tc>
          <w:tcPr>
            <w:tcW w:w="8090" w:type="dxa"/>
            <w:tcBorders/>
            <w:shd w:fill="CCEEFF" w:val="clear"/>
            <w:vAlign w:val="center"/>
          </w:tcPr>
          <w:p>
            <w:pPr>
              <w:pStyle w:val="TableContents"/>
              <w:bidi w:val="0"/>
              <w:spacing w:before="0" w:after="283"/>
              <w:jc w:val="left"/>
              <w:rPr/>
            </w:pPr>
            <w:r>
              <w:rPr/>
              <w:t>Decrease (increase) in trade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bookmarkStart w:id="262" w:name="xdx_40A_eus-gaap--IncreaseDecreaseInOthe"/>
            <w:bookmarkEnd w:id="262"/>
          </w:p>
        </w:tc>
      </w:tr>
      <w:tr>
        <w:trPr/>
        <w:tc>
          <w:tcPr>
            <w:tcW w:w="8090" w:type="dxa"/>
            <w:tcBorders/>
            <w:shd w:fill="FFFFFF" w:val="clear"/>
            <w:vAlign w:val="center"/>
          </w:tcPr>
          <w:p>
            <w:pPr>
              <w:pStyle w:val="TableContents"/>
              <w:bidi w:val="0"/>
              <w:spacing w:before="0" w:after="283"/>
              <w:jc w:val="left"/>
              <w:rPr/>
            </w:pPr>
            <w:r>
              <w:rPr/>
              <w:t>Decrease (increase) in 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186</w:t>
            </w:r>
          </w:p>
        </w:tc>
        <w:tc>
          <w:tcPr>
            <w:tcW w:w="110" w:type="dxa"/>
            <w:tcBorders/>
            <w:shd w:fill="FFFFFF" w:val="clear"/>
            <w:vAlign w:val="center"/>
          </w:tcPr>
          <w:p>
            <w:pPr>
              <w:pStyle w:val="TableContents"/>
              <w:bidi w:val="0"/>
              <w:spacing w:before="0" w:after="283"/>
              <w:jc w:val="left"/>
              <w:rPr/>
            </w:pPr>
            <w:r>
              <w:rPr/>
              <w:t> </w:t>
            </w:r>
            <w:bookmarkStart w:id="263" w:name="xdx_400_eus-gaap--IncreaseDecreaseInInve"/>
            <w:bookmarkEnd w:id="263"/>
          </w:p>
        </w:tc>
      </w:tr>
      <w:tr>
        <w:trPr/>
        <w:tc>
          <w:tcPr>
            <w:tcW w:w="8090" w:type="dxa"/>
            <w:tcBorders/>
            <w:shd w:fill="CCEEFF" w:val="clear"/>
            <w:vAlign w:val="center"/>
          </w:tcPr>
          <w:p>
            <w:pPr>
              <w:pStyle w:val="TableContents"/>
              <w:bidi w:val="0"/>
              <w:spacing w:before="0" w:after="283"/>
              <w:jc w:val="left"/>
              <w:rPr/>
            </w:pPr>
            <w:r>
              <w:rPr/>
              <w:t>Decrease (increase) in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(484</w:t>
            </w:r>
          </w:p>
        </w:tc>
        <w:tc>
          <w:tcPr>
            <w:tcW w:w="110" w:type="dxa"/>
            <w:tcBorders/>
            <w:shd w:fill="CCEEFF" w:val="clear"/>
            <w:vAlign w:val="center"/>
          </w:tcPr>
          <w:p>
            <w:pPr>
              <w:pStyle w:val="TableContents"/>
              <w:bidi w:val="0"/>
              <w:spacing w:before="0" w:after="283"/>
              <w:jc w:val="left"/>
              <w:rPr/>
            </w:pPr>
            <w:r>
              <w:rPr/>
              <w:t>)</w:t>
            </w:r>
            <w:bookmarkStart w:id="264" w:name="xdx_40A_eus-gaap--IncreaseDecreaseInAcco"/>
            <w:bookmarkEnd w:id="264"/>
          </w:p>
        </w:tc>
      </w:tr>
      <w:tr>
        <w:trPr/>
        <w:tc>
          <w:tcPr>
            <w:tcW w:w="8090" w:type="dxa"/>
            <w:tcBorders/>
            <w:shd w:fill="FFFFFF" w:val="clear"/>
            <w:vAlign w:val="center"/>
          </w:tcPr>
          <w:p>
            <w:pPr>
              <w:pStyle w:val="TableContents"/>
              <w:bidi w:val="0"/>
              <w:spacing w:before="0" w:after="283"/>
              <w:jc w:val="left"/>
              <w:rPr/>
            </w:pPr>
            <w:r>
              <w:rPr/>
              <w:t>Increase in trade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264</w:t>
            </w:r>
          </w:p>
        </w:tc>
        <w:tc>
          <w:tcPr>
            <w:tcW w:w="110" w:type="dxa"/>
            <w:tcBorders/>
            <w:shd w:fill="FFFFFF" w:val="clear"/>
            <w:vAlign w:val="center"/>
          </w:tcPr>
          <w:p>
            <w:pPr>
              <w:pStyle w:val="TableContents"/>
              <w:bidi w:val="0"/>
              <w:spacing w:before="0" w:after="283"/>
              <w:jc w:val="left"/>
              <w:rPr/>
            </w:pPr>
            <w:r>
              <w:rPr/>
              <w:t> </w:t>
            </w:r>
            <w:bookmarkStart w:id="265" w:name="xdx_401_eus-gaap--IncreaseDecreaseInOthe"/>
            <w:bookmarkEnd w:id="265"/>
          </w:p>
        </w:tc>
      </w:tr>
      <w:tr>
        <w:trPr/>
        <w:tc>
          <w:tcPr>
            <w:tcW w:w="8090" w:type="dxa"/>
            <w:tcBorders/>
            <w:shd w:fill="CCEEFF" w:val="clear"/>
            <w:vAlign w:val="center"/>
          </w:tcPr>
          <w:p>
            <w:pPr>
              <w:pStyle w:val="TableContents"/>
              <w:bidi w:val="0"/>
              <w:spacing w:before="0" w:after="283"/>
              <w:jc w:val="left"/>
              <w:rPr/>
            </w:pPr>
            <w:r>
              <w:rPr/>
              <w:t>Increase (decrease) in other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642</w:t>
            </w:r>
          </w:p>
        </w:tc>
        <w:tc>
          <w:tcPr>
            <w:tcW w:w="110" w:type="dxa"/>
            <w:tcBorders/>
            <w:shd w:fill="CCEEFF" w:val="clear"/>
            <w:vAlign w:val="center"/>
          </w:tcPr>
          <w:p>
            <w:pPr>
              <w:pStyle w:val="TableContents"/>
              <w:bidi w:val="0"/>
              <w:spacing w:before="0" w:after="283"/>
              <w:jc w:val="left"/>
              <w:rPr/>
            </w:pPr>
            <w:r>
              <w:rPr/>
              <w:t> </w:t>
            </w:r>
            <w:bookmarkStart w:id="266" w:name="xdx_40D_eus-gaap--NetCashProvidedByUsedI"/>
            <w:bookmarkEnd w:id="266"/>
          </w:p>
        </w:tc>
      </w:tr>
      <w:tr>
        <w:trPr/>
        <w:tc>
          <w:tcPr>
            <w:tcW w:w="80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(23,232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(17,125</w:t>
            </w:r>
          </w:p>
        </w:tc>
        <w:tc>
          <w:tcPr>
            <w:tcW w:w="110" w:type="dxa"/>
            <w:tcBorders/>
            <w:shd w:fill="FFFFFF" w:val="clear"/>
            <w:vAlign w:val="center"/>
          </w:tcPr>
          <w:p>
            <w:pPr>
              <w:pStyle w:val="TableContents"/>
              <w:bidi w:val="0"/>
              <w:spacing w:before="0" w:after="283"/>
              <w:jc w:val="left"/>
              <w:rPr/>
            </w:pPr>
            <w:r>
              <w:rPr/>
              <w:t>)</w:t>
            </w:r>
            <w:bookmarkStart w:id="267" w:name="xdx_40B_eus-gaap--NetCashProvidedByUsedI"/>
            <w:bookmarkEnd w:id="267"/>
          </w:p>
        </w:tc>
      </w:tr>
      <w:tr>
        <w:trPr/>
        <w:tc>
          <w:tcPr>
            <w:tcW w:w="809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8" w:name="xdx_40F_eus-gaap--PaymentsToAcquirePrope"/>
            <w:bookmarkEnd w:id="268"/>
          </w:p>
        </w:tc>
      </w:tr>
      <w:tr>
        <w:trPr/>
        <w:tc>
          <w:tcPr>
            <w:tcW w:w="8090"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(935</w:t>
            </w:r>
          </w:p>
        </w:tc>
        <w:tc>
          <w:tcPr>
            <w:tcW w:w="110" w:type="dxa"/>
            <w:tcBorders/>
            <w:shd w:fill="FFFFFF" w:val="clear"/>
            <w:vAlign w:val="center"/>
          </w:tcPr>
          <w:p>
            <w:pPr>
              <w:pStyle w:val="TableContents"/>
              <w:bidi w:val="0"/>
              <w:spacing w:before="0" w:after="283"/>
              <w:jc w:val="left"/>
              <w:rPr/>
            </w:pPr>
            <w:r>
              <w:rPr/>
              <w:t>)</w:t>
            </w:r>
            <w:bookmarkStart w:id="269" w:name="xdx_400_eus-gaap--PaymentsToAcquireMarke"/>
            <w:bookmarkEnd w:id="269"/>
          </w:p>
        </w:tc>
      </w:tr>
      <w:tr>
        <w:trPr/>
        <w:tc>
          <w:tcPr>
            <w:tcW w:w="8090" w:type="dxa"/>
            <w:tcBorders/>
            <w:shd w:fill="CCEEFF" w:val="clear"/>
            <w:vAlign w:val="center"/>
          </w:tcPr>
          <w:p>
            <w:pPr>
              <w:pStyle w:val="TableContents"/>
              <w:bidi w:val="0"/>
              <w:spacing w:before="0" w:after="283"/>
              <w:jc w:val="left"/>
              <w:rPr/>
            </w:pPr>
            <w:r>
              <w:rPr/>
              <w:t>Investments in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(11,749</w:t>
            </w:r>
          </w:p>
        </w:tc>
        <w:tc>
          <w:tcPr>
            <w:tcW w:w="110" w:type="dxa"/>
            <w:tcBorders/>
            <w:shd w:fill="CCEEFF" w:val="clear"/>
            <w:vAlign w:val="center"/>
          </w:tcPr>
          <w:p>
            <w:pPr>
              <w:pStyle w:val="TableContents"/>
              <w:bidi w:val="0"/>
              <w:spacing w:before="0" w:after="283"/>
              <w:jc w:val="left"/>
              <w:rPr/>
            </w:pPr>
            <w:r>
              <w:rPr/>
              <w:t>)</w:t>
            </w:r>
            <w:bookmarkStart w:id="270" w:name="xdx_405_ecustom--ProceedsFromMaturedMark"/>
            <w:bookmarkEnd w:id="270"/>
          </w:p>
        </w:tc>
      </w:tr>
      <w:tr>
        <w:trPr/>
        <w:tc>
          <w:tcPr>
            <w:tcW w:w="8090" w:type="dxa"/>
            <w:tcBorders/>
            <w:shd w:fill="FFFFFF" w:val="clear"/>
            <w:vAlign w:val="center"/>
          </w:tcPr>
          <w:p>
            <w:pPr>
              <w:pStyle w:val="TableContents"/>
              <w:bidi w:val="0"/>
              <w:spacing w:before="0" w:after="283"/>
              <w:jc w:val="left"/>
              <w:rPr/>
            </w:pPr>
            <w:r>
              <w:rPr/>
              <w:t>Proceeds from matured 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19,760</w:t>
            </w:r>
          </w:p>
        </w:tc>
        <w:tc>
          <w:tcPr>
            <w:tcW w:w="110" w:type="dxa"/>
            <w:tcBorders/>
            <w:shd w:fill="FFFFFF" w:val="clear"/>
            <w:vAlign w:val="center"/>
          </w:tcPr>
          <w:p>
            <w:pPr>
              <w:pStyle w:val="TableContents"/>
              <w:bidi w:val="0"/>
              <w:spacing w:before="0" w:after="283"/>
              <w:jc w:val="left"/>
              <w:rPr/>
            </w:pPr>
            <w:r>
              <w:rPr/>
              <w:t> </w:t>
            </w:r>
            <w:bookmarkStart w:id="271" w:name="xdx_405_ecustom--AmountsWithdrawnInRespe"/>
            <w:bookmarkEnd w:id="271"/>
          </w:p>
        </w:tc>
      </w:tr>
      <w:tr>
        <w:trPr/>
        <w:tc>
          <w:tcPr>
            <w:tcW w:w="8090" w:type="dxa"/>
            <w:tcBorders/>
            <w:shd w:fill="CCEEFF" w:val="clear"/>
            <w:vAlign w:val="center"/>
          </w:tcPr>
          <w:p>
            <w:pPr>
              <w:pStyle w:val="TableContents"/>
              <w:bidi w:val="0"/>
              <w:spacing w:before="0" w:after="283"/>
              <w:jc w:val="left"/>
              <w:rPr/>
            </w:pPr>
            <w:r>
              <w:rPr/>
              <w:t>Amounts funded in respect of employee rights upon retirement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110" w:type="dxa"/>
            <w:tcBorders/>
            <w:shd w:fill="CCEEFF" w:val="clear"/>
            <w:vAlign w:val="center"/>
          </w:tcPr>
          <w:p>
            <w:pPr>
              <w:pStyle w:val="TableContents"/>
              <w:bidi w:val="0"/>
              <w:spacing w:before="0" w:after="283"/>
              <w:jc w:val="left"/>
              <w:rPr/>
            </w:pPr>
            <w:r>
              <w:rPr/>
              <w:t>)</w:t>
            </w:r>
            <w:bookmarkStart w:id="272" w:name="xdx_408_eus-gaap--NetCashProvidedByUsedI"/>
            <w:bookmarkEnd w:id="272"/>
          </w:p>
        </w:tc>
      </w:tr>
      <w:tr>
        <w:trPr/>
        <w:tc>
          <w:tcPr>
            <w:tcW w:w="8090" w:type="dxa"/>
            <w:tcBorders/>
            <w:shd w:fill="FFFFFF" w:val="clear"/>
            <w:vAlign w:val="center"/>
          </w:tcPr>
          <w:p>
            <w:pPr>
              <w:pStyle w:val="TableContents"/>
              <w:bidi w:val="0"/>
              <w:spacing w:before="0" w:after="283"/>
              <w:jc w:val="left"/>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29,432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7,024</w:t>
            </w:r>
          </w:p>
        </w:tc>
        <w:tc>
          <w:tcPr>
            <w:tcW w:w="110" w:type="dxa"/>
            <w:tcBorders/>
            <w:shd w:fill="FFFFFF" w:val="clear"/>
            <w:vAlign w:val="center"/>
          </w:tcPr>
          <w:p>
            <w:pPr>
              <w:pStyle w:val="TableContents"/>
              <w:bidi w:val="0"/>
              <w:spacing w:before="0" w:after="283"/>
              <w:jc w:val="left"/>
              <w:rPr/>
            </w:pPr>
            <w:r>
              <w:rPr/>
              <w:t> </w:t>
            </w:r>
            <w:bookmarkStart w:id="273" w:name="xdx_406_eus-gaap--NetCashProvidedByUsedI"/>
            <w:bookmarkEnd w:id="273"/>
          </w:p>
        </w:tc>
      </w:tr>
      <w:tr>
        <w:trPr/>
        <w:tc>
          <w:tcPr>
            <w:tcW w:w="809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4" w:name="xdx_400_eus-gaap--ProceedsFromWarrantExe"/>
            <w:bookmarkEnd w:id="274"/>
          </w:p>
        </w:tc>
      </w:tr>
      <w:tr>
        <w:trPr/>
        <w:tc>
          <w:tcPr>
            <w:tcW w:w="8090" w:type="dxa"/>
            <w:tcBorders/>
            <w:shd w:fill="FFFFFF" w:val="clear"/>
            <w:vAlign w:val="center"/>
          </w:tcPr>
          <w:p>
            <w:pPr>
              <w:pStyle w:val="TableContents"/>
              <w:bidi w:val="0"/>
              <w:spacing w:before="0" w:after="283"/>
              <w:jc w:val="left"/>
              <w:rPr/>
            </w:pPr>
            <w:r>
              <w:rPr/>
              <w:t>Proceeds from 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1,947</w:t>
            </w:r>
          </w:p>
        </w:tc>
        <w:tc>
          <w:tcPr>
            <w:tcW w:w="110" w:type="dxa"/>
            <w:tcBorders/>
            <w:shd w:fill="FFFFFF" w:val="clear"/>
            <w:vAlign w:val="center"/>
          </w:tcPr>
          <w:p>
            <w:pPr>
              <w:pStyle w:val="TableContents"/>
              <w:bidi w:val="0"/>
              <w:spacing w:before="0" w:after="283"/>
              <w:jc w:val="left"/>
              <w:rPr/>
            </w:pPr>
            <w:r>
              <w:rPr/>
              <w:t> </w:t>
            </w:r>
            <w:bookmarkStart w:id="275" w:name="xdx_409_eus-gaap--ProceedsFromIssuanceOf"/>
            <w:bookmarkEnd w:id="275"/>
          </w:p>
        </w:tc>
      </w:tr>
      <w:tr>
        <w:trPr/>
        <w:tc>
          <w:tcPr>
            <w:tcW w:w="8090" w:type="dxa"/>
            <w:tcBorders/>
            <w:shd w:fill="CCEEFF" w:val="clear"/>
            <w:vAlign w:val="center"/>
          </w:tcPr>
          <w:p>
            <w:pPr>
              <w:pStyle w:val="TableContents"/>
              <w:bidi w:val="0"/>
              <w:spacing w:before="0" w:after="283"/>
              <w:jc w:val="left"/>
              <w:rPr/>
            </w:pPr>
            <w:r>
              <w:rPr/>
              <w:t>Proceeds from issuance of shares, net of $</w:t>
            </w:r>
            <w:bookmarkStart w:id="276" w:name="xdx_90B_eus-gaap--PaymentsOfStockIssuanc"/>
            <w:bookmarkStart w:id="277" w:name="xdx_90D_eus-gaap--PaymentsOfStockIssuanc"/>
            <w:bookmarkEnd w:id="276"/>
            <w:bookmarkEnd w:id="277"/>
            <w:r>
              <w:rPr/>
              <w:t>22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696</w:t>
            </w:r>
          </w:p>
        </w:tc>
        <w:tc>
          <w:tcPr>
            <w:tcW w:w="110" w:type="dxa"/>
            <w:tcBorders/>
            <w:shd w:fill="CCEEFF" w:val="clear"/>
            <w:vAlign w:val="center"/>
          </w:tcPr>
          <w:p>
            <w:pPr>
              <w:pStyle w:val="TableContents"/>
              <w:bidi w:val="0"/>
              <w:spacing w:before="0" w:after="283"/>
              <w:jc w:val="left"/>
              <w:rPr/>
            </w:pPr>
            <w:r>
              <w:rPr/>
              <w:t> </w:t>
            </w:r>
            <w:bookmarkStart w:id="278" w:name="xdx_404_eus-gaap--NetCashProvidedByUsedI"/>
            <w:bookmarkEnd w:id="278"/>
          </w:p>
        </w:tc>
      </w:tr>
      <w:tr>
        <w:trPr/>
        <w:tc>
          <w:tcPr>
            <w:tcW w:w="80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2,643</w:t>
            </w:r>
          </w:p>
        </w:tc>
        <w:tc>
          <w:tcPr>
            <w:tcW w:w="110" w:type="dxa"/>
            <w:tcBorders/>
            <w:shd w:fill="FFFFFF" w:val="clear"/>
            <w:vAlign w:val="center"/>
          </w:tcPr>
          <w:p>
            <w:pPr>
              <w:pStyle w:val="TableContents"/>
              <w:bidi w:val="0"/>
              <w:spacing w:before="0" w:after="283"/>
              <w:ind w:left="0" w:right="0" w:hanging="227"/>
              <w:jc w:val="left"/>
              <w:rPr/>
            </w:pPr>
            <w:r>
              <w:rPr/>
              <w:t> </w:t>
            </w:r>
            <w:bookmarkStart w:id="279" w:name="xdx_40A_eus-gaap--EffectOfExchangeRateOn"/>
            <w:bookmarkEnd w:id="279"/>
          </w:p>
        </w:tc>
      </w:tr>
      <w:tr>
        <w:trPr/>
        <w:tc>
          <w:tcPr>
            <w:tcW w:w="8090" w:type="dxa"/>
            <w:tcBorders/>
            <w:shd w:fill="CCEE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51</w:t>
            </w:r>
          </w:p>
        </w:tc>
        <w:tc>
          <w:tcPr>
            <w:tcW w:w="110" w:type="dxa"/>
            <w:tcBorders/>
            <w:shd w:fill="CCEEFF" w:val="clear"/>
            <w:vAlign w:val="center"/>
          </w:tcPr>
          <w:p>
            <w:pPr>
              <w:pStyle w:val="TableContents"/>
              <w:bidi w:val="0"/>
              <w:spacing w:before="0" w:after="283"/>
              <w:ind w:left="0" w:right="0" w:hanging="227"/>
              <w:jc w:val="left"/>
              <w:rPr/>
            </w:pPr>
            <w:r>
              <w:rPr/>
              <w:t> </w:t>
            </w:r>
            <w:bookmarkStart w:id="280" w:name="xdx_409_eus-gaap--CashCashEquivalentsRes"/>
            <w:bookmarkEnd w:id="280"/>
          </w:p>
        </w:tc>
      </w:tr>
      <w:tr>
        <w:trPr/>
        <w:tc>
          <w:tcPr>
            <w:tcW w:w="8090" w:type="dxa"/>
            <w:tcBorders/>
            <w:shd w:fill="FFFFFF" w:val="clear"/>
            <w:vAlign w:val="center"/>
          </w:tcPr>
          <w:p>
            <w:pPr>
              <w:pStyle w:val="TableContents"/>
              <w:bidi w:val="0"/>
              <w:spacing w:before="0" w:after="283"/>
              <w:jc w:val="left"/>
              <w:rPr>
                <w:b/>
              </w:rPr>
            </w:pPr>
            <w:r>
              <w:rPr>
                <w:b/>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(7,407</w:t>
            </w:r>
          </w:p>
        </w:tc>
        <w:tc>
          <w:tcPr>
            <w:tcW w:w="110" w:type="dxa"/>
            <w:tcBorders/>
            <w:shd w:fill="FFFFFF" w:val="clear"/>
            <w:vAlign w:val="center"/>
          </w:tcPr>
          <w:p>
            <w:pPr>
              <w:pStyle w:val="TableContents"/>
              <w:bidi w:val="0"/>
              <w:spacing w:before="0" w:after="283"/>
              <w:ind w:left="0" w:right="0" w:hanging="227"/>
              <w:jc w:val="left"/>
              <w:rPr/>
            </w:pPr>
            <w:r>
              <w:rPr/>
              <w:t>)</w:t>
            </w:r>
            <w:bookmarkStart w:id="281" w:name="xdx_407_eus-gaap--CashCashEquivalentsRes"/>
            <w:bookmarkEnd w:id="281"/>
          </w:p>
        </w:tc>
      </w:tr>
      <w:tr>
        <w:trPr/>
        <w:tc>
          <w:tcPr>
            <w:tcW w:w="8090" w:type="dxa"/>
            <w:tcBorders/>
            <w:shd w:fill="CCEEFF" w:val="clear"/>
            <w:vAlign w:val="center"/>
          </w:tcPr>
          <w:p>
            <w:pPr>
              <w:pStyle w:val="TableContents"/>
              <w:bidi w:val="0"/>
              <w:spacing w:before="0" w:after="283"/>
              <w:jc w:val="left"/>
              <w:rPr>
                <w:b/>
              </w:rPr>
            </w:pPr>
            <w:r>
              <w:rPr>
                <w:b/>
              </w:rPr>
              <w:t>BALANCE OF 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18,916</w:t>
            </w:r>
          </w:p>
        </w:tc>
        <w:tc>
          <w:tcPr>
            <w:tcW w:w="110" w:type="dxa"/>
            <w:tcBorders/>
            <w:shd w:fill="CCEEFF" w:val="clear"/>
            <w:vAlign w:val="center"/>
          </w:tcPr>
          <w:p>
            <w:pPr>
              <w:pStyle w:val="TableContents"/>
              <w:bidi w:val="0"/>
              <w:spacing w:before="0" w:after="283"/>
              <w:ind w:left="0" w:right="0" w:hanging="227"/>
              <w:jc w:val="left"/>
              <w:rPr/>
            </w:pPr>
            <w:r>
              <w:rPr/>
              <w:t> </w:t>
            </w:r>
            <w:bookmarkStart w:id="282" w:name="xdx_409_eus-gaap--CashCashEquivalentsRes"/>
            <w:bookmarkEnd w:id="282"/>
          </w:p>
        </w:tc>
      </w:tr>
      <w:tr>
        <w:trPr/>
        <w:tc>
          <w:tcPr>
            <w:tcW w:w="8090" w:type="dxa"/>
            <w:tcBorders/>
            <w:shd w:fill="FFFFFF" w:val="clear"/>
            <w:vAlign w:val="center"/>
          </w:tcPr>
          <w:p>
            <w:pPr>
              <w:pStyle w:val="TableContents"/>
              <w:bidi w:val="0"/>
              <w:spacing w:before="0" w:after="283"/>
              <w:jc w:val="left"/>
              <w:rPr>
                <w:b/>
              </w:rPr>
            </w:pPr>
            <w:r>
              <w:rPr>
                <w:b/>
              </w:rPr>
              <w:t>BALANCE OF CASH AND CASH EQUIVALENTS AT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15,149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11,509</w:t>
            </w:r>
          </w:p>
        </w:tc>
        <w:tc>
          <w:tcPr>
            <w:tcW w:w="110" w:type="dxa"/>
            <w:tcBorders/>
            <w:shd w:fill="FFFFFF" w:val="clear"/>
            <w:vAlign w:val="center"/>
          </w:tcPr>
          <w:p>
            <w:pPr>
              <w:pStyle w:val="TableContents"/>
              <w:bidi w:val="0"/>
              <w:spacing w:before="0" w:after="283"/>
              <w:ind w:left="0" w:right="0" w:hanging="227"/>
              <w:jc w:val="left"/>
              <w:rPr/>
            </w:pPr>
            <w:r>
              <w:rPr/>
              <w:t> </w:t>
            </w:r>
            <w:bookmarkStart w:id="283" w:name="xdx_40F_eus-gaap--NoncashInvestingAndFin"/>
            <w:bookmarkEnd w:id="283"/>
          </w:p>
        </w:tc>
      </w:tr>
      <w:tr>
        <w:trPr/>
        <w:tc>
          <w:tcPr>
            <w:tcW w:w="8090" w:type="dxa"/>
            <w:tcBorders/>
            <w:shd w:fill="CCEEFF" w:val="clear"/>
            <w:vAlign w:val="center"/>
          </w:tcPr>
          <w:p>
            <w:pPr>
              <w:pStyle w:val="TableContents"/>
              <w:bidi w:val="0"/>
              <w:spacing w:before="0" w:after="283"/>
              <w:jc w:val="left"/>
              <w:rPr>
                <w:b/>
              </w:rPr>
            </w:pPr>
            <w:r>
              <w:rPr>
                <w:b/>
              </w:rPr>
              <w:t>SUPPLEMENT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4" w:name="xdx_40F_ecustom--IssuanceCostsNotYetPaid"/>
            <w:bookmarkEnd w:id="284"/>
          </w:p>
        </w:tc>
      </w:tr>
      <w:tr>
        <w:trPr/>
        <w:tc>
          <w:tcPr>
            <w:tcW w:w="8090" w:type="dxa"/>
            <w:tcBorders/>
            <w:shd w:fill="FFFFFF" w:val="clear"/>
            <w:vAlign w:val="center"/>
          </w:tcPr>
          <w:p>
            <w:pPr>
              <w:pStyle w:val="TableContents"/>
              <w:bidi w:val="0"/>
              <w:spacing w:before="0" w:after="283"/>
              <w:jc w:val="left"/>
              <w:rPr/>
            </w:pPr>
            <w:r>
              <w:rPr/>
              <w:t>Issuance Costs not yet paid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109</w:t>
            </w:r>
          </w:p>
        </w:tc>
        <w:tc>
          <w:tcPr>
            <w:tcW w:w="110" w:type="dxa"/>
            <w:tcBorders/>
            <w:shd w:fill="FFFFFF" w:val="clear"/>
            <w:vAlign w:val="center"/>
          </w:tcPr>
          <w:p>
            <w:pPr>
              <w:pStyle w:val="TableContents"/>
              <w:bidi w:val="0"/>
              <w:spacing w:before="0" w:after="283"/>
              <w:jc w:val="left"/>
              <w:rPr/>
            </w:pPr>
            <w:r>
              <w:rPr/>
              <w:t> </w:t>
            </w:r>
            <w:bookmarkStart w:id="285" w:name="xdx_406_ecustom--NoncashAcquisitionOfRig"/>
            <w:bookmarkEnd w:id="285"/>
          </w:p>
        </w:tc>
      </w:tr>
      <w:tr>
        <w:trPr/>
        <w:tc>
          <w:tcPr>
            <w:tcW w:w="8090" w:type="dxa"/>
            <w:tcBorders/>
            <w:shd w:fill="CCEEFF" w:val="clear"/>
            <w:vAlign w:val="center"/>
          </w:tcPr>
          <w:p>
            <w:pPr>
              <w:pStyle w:val="TableContents"/>
              <w:bidi w:val="0"/>
              <w:spacing w:before="0" w:after="283"/>
              <w:jc w:val="both"/>
              <w:rPr/>
            </w:pPr>
            <w:r>
              <w:rPr/>
              <w:t xml:space="preserve">Acquisition of right-of-use assets by means of lease liabilities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994</w:t>
            </w:r>
          </w:p>
        </w:tc>
        <w:tc>
          <w:tcPr>
            <w:tcW w:w="110" w:type="dxa"/>
            <w:tcBorders/>
            <w:shd w:fill="CCEEFF" w:val="clear"/>
            <w:vAlign w:val="center"/>
          </w:tcPr>
          <w:p>
            <w:pPr>
              <w:pStyle w:val="TableContents"/>
              <w:bidi w:val="0"/>
              <w:spacing w:before="0" w:after="283"/>
              <w:jc w:val="left"/>
              <w:rPr/>
            </w:pPr>
            <w:r>
              <w:rPr/>
              <w:t> </w:t>
            </w:r>
            <w:bookmarkStart w:id="286" w:name="xdx_401_ecustom--NoncashPurchaseOfProper"/>
            <w:bookmarkEnd w:id="286"/>
          </w:p>
        </w:tc>
      </w:tr>
      <w:tr>
        <w:trPr/>
        <w:tc>
          <w:tcPr>
            <w:tcW w:w="8090" w:type="dxa"/>
            <w:tcBorders/>
            <w:shd w:fill="FFFFFF" w:val="clear"/>
            <w:vAlign w:val="center"/>
          </w:tcPr>
          <w:p>
            <w:pPr>
              <w:pStyle w:val="TableContents"/>
              <w:bidi w:val="0"/>
              <w:spacing w:before="0" w:after="283"/>
              <w:jc w:val="left"/>
              <w:rPr/>
            </w:pPr>
            <w:r>
              <w:rPr/>
              <w:t>Non-cash 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7" w:name="FIN_005"/>
      <w:bookmarkEnd w:id="287"/>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8" w:name="xdx_807_eus-gaap--NatureOfOperations_zSY"/>
      <w:bookmarkEnd w:id="288"/>
      <w:r>
        <w:rPr>
          <w:rFonts w:ascii="Times New Roman;Times;Serif" w:hAnsi="Times New Roman;Times;Serif"/>
          <w:b/>
          <w:i w:val="false"/>
          <w:caps w:val="false"/>
          <w:smallCaps w:val="false"/>
          <w:sz w:val="20"/>
        </w:rPr>
        <w:t xml:space="preserve">NOTE 1 - </w:t>
      </w:r>
      <w:bookmarkStart w:id="289" w:name="xdx_82A_zyyLsK0vuxVh"/>
      <w:bookmarkEnd w:id="289"/>
      <w:r>
        <w:rPr>
          <w:rFonts w:ascii="Times New Roman;Times;Serif" w:hAnsi="Times New Roman;Times;Serif"/>
          <w:b/>
          <w:i w:val="false"/>
          <w:caps w:val="false"/>
          <w:smallCaps w:val="false"/>
          <w:sz w:val="20"/>
        </w:rPr>
        <w:t>DESCRIPTION OF BUSINESS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Inc., a Delaware corporation (the “Company”), together with its subsidiaries in Israel and Germany, is a medical device company specializing in the development and commercialization of products for the treatment of carotid artery disease and other vascular conditions. The Company’s portfolio includes two commercial products based on its proprietary CGuard™ carotid stent technology, designed to provide market-leading embolic protection during and after stenting procedures. A stent is an expandable scaffold-like metallic device placed in an artery to widen the lumen and restore blood flow.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product, the CGuard™ Carotid Embolic Prevention System (“CGuard EPS”), integrates a self-expanding nitinol stent with a MicroNet™ mesh sleeve as a single device for carotid artery revascularization. The Company has received CE Mark recertification for CGuard EPS under the EU Medical Device Regulation (“MDR”). The Company’s CGuard EPS previously held CE Mark approval under the former Medical Device Directive (“MDD”). CGuard EPS is marketed in over 30 countries outside the United States, mainly in Europe, through a network of distributors. In the first quarter of 2026, the Company submitted a premarket approval (“PMA”) to the U.S. Food and Drug Administration (“FDA”) for the CGuard EPS.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second product, the CGuard™ Prime Carotid Stent System (“CGuard Prime”), uses the same stent and MicroNet mesh with a differentiated deployment mechanism. CGuard Prime received PMA by the FDA on June 23, 2025. CGuard Prime also received MDR CE Mark approval on June 12, 2025.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announced a voluntary recall in the U.S. of CGuard Prime, initiated in consultation with the FDA after the Company determined during a controlled launch that the technical success rate of its delivery system during CAS procedures did not meet performance expectations. The voluntary action was limited to the CGuard Prime delivery system and did not involve the CGuard stent implant. The Company’s assessment did not identify new safety concerns for patients who had previously received a CGuard implant.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substantially all affected products were returned and credits were issued to customers. The Company recorded approximately $</w:t>
            </w:r>
            <w:bookmarkStart w:id="290" w:name="xdx_900_eus-gaap--CustomerRefundLiabilit"/>
            <w:bookmarkEnd w:id="290"/>
            <w:r>
              <w:rPr>
                <w:rFonts w:ascii="Times New Roman;Times;Serif" w:hAnsi="Times New Roman;Times;Serif"/>
                <w:b w:val="false"/>
                <w:i w:val="false"/>
                <w:caps w:val="false"/>
                <w:smallCaps w:val="false"/>
                <w:sz w:val="20"/>
              </w:rPr>
              <w:t>734,000 as a reduction of revenue related to these returns. In addition, the Company recorded approximately $</w:t>
            </w:r>
            <w:bookmarkStart w:id="291" w:name="xdx_902_ecustom--InventoryImpairment_pp0"/>
            <w:bookmarkEnd w:id="291"/>
            <w:r>
              <w:rPr>
                <w:rFonts w:ascii="Times New Roman;Times;Serif" w:hAnsi="Times New Roman;Times;Serif"/>
                <w:b w:val="false"/>
                <w:i w:val="false"/>
                <w:caps w:val="false"/>
                <w:smallCaps w:val="false"/>
                <w:sz w:val="20"/>
              </w:rPr>
              <w:t>612,000 of inventory impairment associated with the recall.</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6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accumulated deficit as of June 30, 2026, as well as a history of net losses and negative operating cash flows. The Company expects to continue incurring losses and negative cash flows from operations until the Company expands its commercial revenue to a scale that funds its commercial resources, development activities and support functions. As a result of these expected losses and negative cash flows from operations, along with the Company’s current cash position, the Company does not have sufficient resources to fund operations for at least the next 12 months. Therefore, there is substantial doubt about the Company’s ability to continue as a going concern. These financial statements have been prepared assuming that the Company will continue as a going concern and do not include any adjustments that might result from the outcome of this uncertainty.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the Company received a notification letter from the Nasdaq Listing Qualifications notifying the Company that it is not in compliance with the minimum bid price requirements set forth in Nasdaq Listing Rule 5550(a)(2) for continued listing on The Nasdaq Capital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include the continued commercialization of the Company’s products and raising capital through the sale of additional equity securities, debt or capital inflows from potential strategic partnerships and exercises of warrants. There are no assurances, however, that the Company will be successful in obtaining the level of financing needed for its operations. If the Company is unsuccessful in commercializing its products and raising capital, it may need to reduce activities, curtail or cease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996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Company’s Operations in Israel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Hamas launched a series of attacks on civilian and military targets in Southern Israel and Central Israel, to which the Israel Defense Forces responded. In addition, Iran, Hezbollah and the Houthi movement attacked military and civilian targets in Israel, to which Israel responded, including through increased air and/or ground operations in Lebanon, Syria, Yemen and Iran. Following years of conflict in the region, on October 9, 2025, Israel, Hamas, the United States and other countries in the region agreed to a framework for a ceasefire in Gaza between Israel and Hamas. On February 28, 2026, the United States and Israel launched joint combat operations in Iran to which Iran and Hezbollah responded with ballistic missile and drone attacks on Israel as well as other countries and U.S. military bases in the region. Although the United States and Iran have announced ceasefire and de-escalation arrangements from time to time, including a memorandum of understanding entered into on June 17, 2026 that contemplates the termination of military operations on multiple fronts, hostilities have resumed and may continue or escalate.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The intensity and duration of the security situation in Israel have been difficult to predict, as are the economic implications on our business and operations and on Israel’s economy in general. As of the date of these condensed consolidated financial statements, conflict continues in parts of the region. The Company’s current manufacturing facility, certain of its key personnel and one of its offices are located in Israel. At this time, these activities remain largely unaffected.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and 2025, the impact of this war on the Company’s results of operations and financial condition was immaterial, but such impact may increase, which could be material, as a result of the continuation, escalation or expansion of such war.</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2" w:name="xdx_80E_eus-gaap--BasisOfAccounting_zdXd"/>
      <w:bookmarkEnd w:id="292"/>
      <w:r>
        <w:rPr>
          <w:rFonts w:ascii="Times New Roman;Times;Serif" w:hAnsi="Times New Roman;Times;Serif"/>
          <w:b/>
          <w:i w:val="false"/>
          <w:caps w:val="false"/>
          <w:smallCaps w:val="false"/>
          <w:sz w:val="20"/>
        </w:rPr>
        <w:t xml:space="preserve">NOTE 2 - </w:t>
      </w:r>
      <w:bookmarkStart w:id="293" w:name="xdx_82C_zCaDs19OjbNi"/>
      <w:bookmarkEnd w:id="293"/>
      <w:r>
        <w:rPr>
          <w:rFonts w:ascii="Times New Roman;Times;Serif" w:hAnsi="Times New Roman;Times;Serif"/>
          <w:b/>
          <w:i w:val="false"/>
          <w:caps w:val="false"/>
          <w:smallCaps w:val="false"/>
          <w:sz w:val="20"/>
        </w:rPr>
        <w:t>BASIS OF PRESENTATION</w:t>
      </w:r>
    </w:p>
    <w:p>
      <w:pPr>
        <w:pStyle w:val="TextBody"/>
        <w:bidi w:val="0"/>
        <w:spacing w:before="0" w:after="0"/>
        <w:ind w:left="1440" w:right="0" w:hanging="24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on the same basis as the annual consolidated financial statements. In the opinion of the Company, the financial statements reflect all adjustments, which include only normal recurring adjustments, necessary for a fair statement of its financial position as of June 30, 2026, and its results of operations, changes in equity and cash flows for the three and six months ended June 30, 2026, and 2025. These unaudited condensed consolidated financial statements and notes thereto are unaudited and should be read in conjunction with the Company’s audited financial statements for the year ended December 31, 2025, as found in the Company’s Annual Report on Form 10-K, filed with the Securities and Exchange Commission on March 18, 2026. The results of operations for the six and three months ended June 30, 2026 are not necessarily indicative of results that could be expected for the entire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4" w:name="xdx_809_eus-gaap--NewAccountingPronounce"/>
      <w:bookmarkEnd w:id="294"/>
      <w:r>
        <w:rPr>
          <w:rFonts w:ascii="Times New Roman;Times;Serif" w:hAnsi="Times New Roman;Times;Serif"/>
          <w:b/>
          <w:i w:val="false"/>
          <w:caps w:val="false"/>
          <w:smallCaps w:val="false"/>
          <w:sz w:val="20"/>
        </w:rPr>
        <w:t xml:space="preserve">NOTE 3 - </w:t>
      </w:r>
      <w:bookmarkStart w:id="295" w:name="xdx_826_zCLz7YNuWZHi"/>
      <w:bookmarkEnd w:id="295"/>
      <w:r>
        <w:rPr>
          <w:rFonts w:ascii="Times New Roman;Times;Serif" w:hAnsi="Times New Roman;Times;Serif"/>
          <w:b/>
          <w:i w:val="false"/>
          <w:caps w:val="false"/>
          <w:smallCaps w:val="false"/>
          <w:sz w:val="20"/>
        </w:rPr>
        <w:t>RECENTLY ADOPTED AND ISSUED ACCOUNTING PRONOUNCEMENTS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 not yet adopted</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Statement—Reporting Comprehensive Income—Expense Disaggregation Disclosures (Subtopic 220-40). The ASU improves the disclosures about a public business entity’s expense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G&amp;A, S&amp;M and research and development) as well as disclosures about selling expenses. The ASU is effective for fiscal years beginning after December 15, 2026, and interim periods within fiscal years beginning after December 15, 2027. Early adoption is permitted. The Company is currently evaluating this ASU to determine its impact on the Company’s consolidated financial statements and disclosures.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The Company does not expect ASU 2025-11 to have a material impact on its consolidated financial statements disclosures.</w:t>
            </w:r>
          </w:p>
        </w:tc>
      </w:tr>
    </w:tbl>
    <w:p>
      <w:pPr>
        <w:pStyle w:val="TextBody"/>
        <w:shd w:fill="FFFFFF" w:val="clear"/>
        <w:bidi w:val="0"/>
        <w:spacing w:before="0" w:after="0"/>
        <w:ind w:left="719"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6" w:name="xdx_804_eus-gaap--FairValueDisclosuresTe"/>
      <w:bookmarkEnd w:id="296"/>
      <w:r>
        <w:rPr>
          <w:rFonts w:ascii="Times New Roman;Times;Serif" w:hAnsi="Times New Roman;Times;Serif"/>
          <w:b/>
          <w:i w:val="false"/>
          <w:caps w:val="false"/>
          <w:smallCaps w:val="false"/>
          <w:sz w:val="20"/>
        </w:rPr>
        <w:t xml:space="preserve">NOTE 4 – </w:t>
      </w:r>
      <w:bookmarkStart w:id="297" w:name="xdx_829_z1ARKNXE6Hw3"/>
      <w:bookmarkEnd w:id="297"/>
      <w:r>
        <w:rPr>
          <w:rFonts w:ascii="Times New Roman;Times;Serif" w:hAnsi="Times New Roman;Times;Serif"/>
          <w:b/>
          <w:i w:val="false"/>
          <w:caps w:val="false"/>
          <w:smallCaps w:val="false"/>
          <w:sz w:val="20"/>
        </w:rPr>
        <w:t>FAIR VALUE MEASUREMENTS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that are accessible at the measurement date for assets or liabilities. The fair value hierarchy gives the highest priority to Level 1 inputs.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prices that are based on inputs not quoted on active markets but corroborated by market data.</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are used when little or no market data is available. The fair value hierarchy gives the lowest priority to Level 3 inputs.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98" w:name="xdx_899_eus-gaap--FairValueAssetsMeasure"/>
      <w:bookmarkEnd w:id="298"/>
      <w:r>
        <w:rPr>
          <w:rFonts w:ascii="Times New Roman;Times;Serif" w:hAnsi="Times New Roman;Times;Serif"/>
          <w:b w:val="false"/>
          <w:i w:val="false"/>
          <w:caps w:val="false"/>
          <w:smallCaps w:val="false"/>
          <w:sz w:val="20"/>
        </w:rPr>
        <w:t>The Company’s financial assets subject to fair value measurements on a recurring basis and the level of inputs used in such measurements were as follows: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bookmarkStart w:id="299" w:name="xdx_8BD_zxKY8awXQOta"/>
      <w:bookmarkEnd w:id="299"/>
      <w:r>
        <w:rPr>
          <w:rFonts w:ascii="Times New Roman;Times;Serif" w:hAnsi="Times New Roman;Times;Serif"/>
          <w:b w:val="false"/>
          <w:i w:val="false"/>
          <w:caps w:val="false"/>
          <w:smallCaps w:val="false"/>
          <w:sz w:val="20"/>
        </w:rPr>
        <w:t>SCHEDULE OF FINANCIAL ASSETS SUBJECT TO FAIR VALUE MEASUREMENTS </w:t>
      </w:r>
    </w:p>
    <w:tbl>
      <w:tblPr>
        <w:tblW w:w="6075" w:type="dxa"/>
        <w:jc w:val="left"/>
        <w:tblInd w:w="0" w:type="dxa"/>
        <w:tblLayout w:type="fixed"/>
        <w:tblCellMar>
          <w:top w:w="0" w:type="dxa"/>
          <w:left w:w="0" w:type="dxa"/>
          <w:bottom w:w="0" w:type="dxa"/>
          <w:right w:w="0" w:type="dxa"/>
        </w:tblCellMar>
      </w:tblPr>
      <w:tblGrid>
        <w:gridCol w:w="2225"/>
        <w:gridCol w:w="60"/>
        <w:gridCol w:w="140"/>
        <w:gridCol w:w="680"/>
        <w:gridCol w:w="60"/>
        <w:gridCol w:w="60"/>
        <w:gridCol w:w="140"/>
        <w:gridCol w:w="680"/>
        <w:gridCol w:w="60"/>
        <w:gridCol w:w="60"/>
        <w:gridCol w:w="140"/>
        <w:gridCol w:w="680"/>
        <w:gridCol w:w="60"/>
        <w:gridCol w:w="60"/>
        <w:gridCol w:w="140"/>
        <w:gridCol w:w="755"/>
        <w:gridCol w:w="75"/>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0" w:name="xdx_497_20260630__us-gaap--FairValueByMe"/>
            <w:bookmarkEnd w:id="300"/>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1" w:name="xdx_498_20260630__us-gaap--FairValueByMe"/>
            <w:bookmarkEnd w:id="301"/>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2" w:name="xdx_495_20260630__us-gaap--FairValueByMe"/>
            <w:bookmarkEnd w:id="302"/>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3" w:name="xdx_496_20260630__us-gaap--FairValueByMe"/>
            <w:bookmarkEnd w:id="303"/>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5" w:type="dxa"/>
            <w:gridSpan w:val="14"/>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 thousands)</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04" w:name="xdx_40A_eus-gaap--CashAndCashEquivalents"/>
            <w:bookmarkEnd w:id="304"/>
          </w:p>
        </w:tc>
      </w:tr>
      <w:tr>
        <w:trPr/>
        <w:tc>
          <w:tcPr>
            <w:tcW w:w="2225"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12,182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12,182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05" w:name="xdx_406_eus-gaap--SecuritiesBorrowedFair"/>
            <w:bookmarkEnd w:id="305"/>
          </w:p>
        </w:tc>
      </w:tr>
      <w:tr>
        <w:trPr/>
        <w:tc>
          <w:tcPr>
            <w:tcW w:w="2225" w:type="dxa"/>
            <w:tcBorders/>
            <w:shd w:fill="FFFFFF" w:val="clear"/>
            <w:vAlign w:val="center"/>
          </w:tcPr>
          <w:p>
            <w:pPr>
              <w:pStyle w:val="TableContents"/>
              <w:bidi w:val="0"/>
              <w:spacing w:before="0" w:after="283"/>
              <w:jc w:val="left"/>
              <w:rPr/>
            </w:pPr>
            <w:r>
              <w:rPr/>
              <w:t>U.S government bonds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15,272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15,272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jc w:val="center"/>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2225"/>
        <w:gridCol w:w="60"/>
        <w:gridCol w:w="140"/>
        <w:gridCol w:w="680"/>
        <w:gridCol w:w="60"/>
        <w:gridCol w:w="60"/>
        <w:gridCol w:w="151"/>
        <w:gridCol w:w="604"/>
        <w:gridCol w:w="60"/>
        <w:gridCol w:w="60"/>
        <w:gridCol w:w="140"/>
        <w:gridCol w:w="680"/>
        <w:gridCol w:w="60"/>
        <w:gridCol w:w="60"/>
        <w:gridCol w:w="140"/>
        <w:gridCol w:w="635"/>
        <w:gridCol w:w="75"/>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6" w:name="xdx_498_20251231__us-gaap--FairValueByMe"/>
            <w:bookmarkEnd w:id="306"/>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7" w:name="xdx_497_20251231__us-gaap--FairValueByMe"/>
            <w:bookmarkEnd w:id="307"/>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8" w:name="xdx_49D_20251231__us-gaap--FairValueByMe"/>
            <w:bookmarkEnd w:id="308"/>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9" w:name="xdx_491_20251231__us-gaap--FairValueByMe"/>
            <w:bookmarkEnd w:id="309"/>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0" w:type="dxa"/>
            <w:gridSpan w:val="14"/>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 thousands)</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10" w:name="xdx_407_eus-gaap--CashAndCashEquivalents"/>
            <w:bookmarkEnd w:id="310"/>
          </w:p>
        </w:tc>
      </w:tr>
      <w:tr>
        <w:trPr/>
        <w:tc>
          <w:tcPr>
            <w:tcW w:w="2225"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5,116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11" w:name="xdx_40D_eus-gaap--SecuritiesBorrowedFair"/>
            <w:bookmarkEnd w:id="311"/>
          </w:p>
        </w:tc>
      </w:tr>
      <w:tr>
        <w:trPr/>
        <w:tc>
          <w:tcPr>
            <w:tcW w:w="2225" w:type="dxa"/>
            <w:tcBorders/>
            <w:shd w:fill="FFFFFF" w:val="clear"/>
            <w:vAlign w:val="center"/>
          </w:tcPr>
          <w:p>
            <w:pPr>
              <w:pStyle w:val="TableContents"/>
              <w:bidi w:val="0"/>
              <w:spacing w:before="0" w:after="283"/>
              <w:jc w:val="left"/>
              <w:rPr/>
            </w:pPr>
            <w:r>
              <w:rPr/>
              <w:t>U.S government bonds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45,272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45,272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jc w:val="center"/>
        <w:rPr>
          <w:caps w:val="false"/>
          <w:smallCaps w:val="false"/>
        </w:rPr>
      </w:pPr>
      <w:bookmarkStart w:id="312" w:name="xdx_8A2_zwKfNbKwNzOh"/>
      <w:bookmarkEnd w:id="312"/>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equivalents, and marketable securities are classified within Level 1 and Level 2 because it uses quoted market prices or alternative pricing sources and models utilizing market observable inputs to determine their fair value.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marketable securities as of June 30, 2026, and December 31, 2025, is $</w:t>
      </w:r>
      <w:bookmarkStart w:id="313" w:name="xdx_90F_eus-gaap--SecuritiesBorrowedFair"/>
      <w:bookmarkEnd w:id="313"/>
      <w:r>
        <w:rPr>
          <w:rFonts w:ascii="Times New Roman;Times;Serif" w:hAnsi="Times New Roman;Times;Serif"/>
          <w:b w:val="false"/>
          <w:i w:val="false"/>
          <w:caps w:val="false"/>
          <w:smallCaps w:val="false"/>
          <w:sz w:val="20"/>
        </w:rPr>
        <w:t>15,239 and $</w:t>
      </w:r>
      <w:bookmarkStart w:id="314" w:name="xdx_903_eus-gaap--SecuritiesBorrowedFair"/>
      <w:bookmarkEnd w:id="314"/>
      <w:r>
        <w:rPr>
          <w:rFonts w:ascii="Times New Roman;Times;Serif" w:hAnsi="Times New Roman;Times;Serif"/>
          <w:b w:val="false"/>
          <w:i w:val="false"/>
          <w:caps w:val="false"/>
          <w:smallCaps w:val="false"/>
          <w:sz w:val="20"/>
        </w:rPr>
        <w:t>45,091 thousand, respectively.</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5" w:name="xdx_809_eus-gaap--InvestmentsInDebtAndMa"/>
      <w:bookmarkEnd w:id="315"/>
      <w:r>
        <w:rPr>
          <w:rFonts w:ascii="Times New Roman;Times;Serif" w:hAnsi="Times New Roman;Times;Serif"/>
          <w:b/>
          <w:i w:val="false"/>
          <w:caps w:val="false"/>
          <w:smallCaps w:val="false"/>
          <w:sz w:val="20"/>
        </w:rPr>
        <w:t xml:space="preserve">NOTE 5 - </w:t>
      </w:r>
      <w:bookmarkStart w:id="316" w:name="xdx_820_zBbUsi1KjVN4"/>
      <w:bookmarkEnd w:id="316"/>
      <w:r>
        <w:rPr>
          <w:rFonts w:ascii="Times New Roman;Times;Serif" w:hAnsi="Times New Roman;Times;Serif"/>
          <w:b/>
          <w:i w:val="false"/>
          <w:caps w:val="false"/>
          <w:smallCaps w:val="false"/>
          <w:sz w:val="20"/>
        </w:rPr>
        <w:t>MARKETABLE SECURITIES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all of the Company’s marketable securities had contractual maturities of less than one year.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317" w:name="xdx_89E_ecustom--FairValueOfMarketableSe"/>
      <w:bookmarkEnd w:id="317"/>
      <w:r>
        <w:rPr>
          <w:rFonts w:ascii="Times New Roman;Times;Serif" w:hAnsi="Times New Roman;Times;Serif"/>
          <w:b w:val="false"/>
          <w:i w:val="false"/>
          <w:caps w:val="false"/>
          <w:smallCaps w:val="false"/>
          <w:sz w:val="20"/>
        </w:rPr>
        <w:t>The table below sets forth a summary of the changes in the fair value of the Company’s marketable securities for the six-month period ended June 30, 2026, and 2025:</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318" w:name="xdx_8B8_zywIqAiFWwQh"/>
      <w:bookmarkEnd w:id="318"/>
      <w:r>
        <w:rPr>
          <w:rFonts w:ascii="Times New Roman;Times;Serif" w:hAnsi="Times New Roman;Times;Serif"/>
          <w:b w:val="false"/>
          <w:i w:val="false"/>
          <w:caps w:val="false"/>
          <w:smallCaps w:val="false"/>
          <w:sz w:val="20"/>
        </w:rPr>
        <w:t>SCHEDULE OF CHANGES IN FAIR VALUE OF MARKETABLE SECURITIES</w:t>
      </w:r>
    </w:p>
    <w:tbl>
      <w:tblPr>
        <w:tblW w:w="5840" w:type="dxa"/>
        <w:jc w:val="left"/>
        <w:tblInd w:w="0" w:type="dxa"/>
        <w:tblLayout w:type="fixed"/>
        <w:tblCellMar>
          <w:top w:w="0" w:type="dxa"/>
          <w:left w:w="0" w:type="dxa"/>
          <w:bottom w:w="0" w:type="dxa"/>
          <w:right w:w="0" w:type="dxa"/>
        </w:tblCellMar>
      </w:tblPr>
      <w:tblGrid>
        <w:gridCol w:w="3725"/>
        <w:gridCol w:w="60"/>
        <w:gridCol w:w="140"/>
        <w:gridCol w:w="755"/>
        <w:gridCol w:w="95"/>
        <w:gridCol w:w="60"/>
        <w:gridCol w:w="140"/>
        <w:gridCol w:w="755"/>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9" w:name="xdx_493_20260101__20260630_z1VFqpH5O0Gd"/>
            <w:bookmarkEnd w:id="319"/>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0" w:name="xdx_496_20250101__20250630_zH1fSshrpxxb"/>
            <w:bookmarkEnd w:id="320"/>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in thousands)</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321" w:name="xdx_402_eus-gaap--MarketableSecuritiesCu"/>
            <w:bookmarkEnd w:id="321"/>
          </w:p>
        </w:tc>
      </w:tr>
      <w:tr>
        <w:trPr/>
        <w:tc>
          <w:tcPr>
            <w:tcW w:w="3725" w:type="dxa"/>
            <w:tcBorders/>
            <w:shd w:fill="CCEEFF" w:val="clear"/>
            <w:vAlign w:val="center"/>
          </w:tcPr>
          <w:p>
            <w:pPr>
              <w:pStyle w:val="TableContents"/>
              <w:bidi w:val="0"/>
              <w:spacing w:before="0" w:after="283"/>
              <w:jc w:val="left"/>
              <w:rPr/>
            </w:pPr>
            <w:r>
              <w:rPr/>
              <w:t>Balance at beginning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45,272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15,721</w:t>
            </w:r>
          </w:p>
        </w:tc>
        <w:tc>
          <w:tcPr>
            <w:tcW w:w="110" w:type="dxa"/>
            <w:tcBorders/>
            <w:shd w:fill="CCEEFF" w:val="clear"/>
            <w:vAlign w:val="center"/>
          </w:tcPr>
          <w:p>
            <w:pPr>
              <w:pStyle w:val="TableContents"/>
              <w:bidi w:val="0"/>
              <w:spacing w:before="0" w:after="283"/>
              <w:jc w:val="left"/>
              <w:rPr/>
            </w:pPr>
            <w:r>
              <w:rPr/>
              <w:t> </w:t>
            </w:r>
            <w:bookmarkStart w:id="322" w:name="xdx_40E_eus-gaap--PaymentsToAcquireMarke"/>
            <w:bookmarkEnd w:id="322"/>
          </w:p>
        </w:tc>
      </w:tr>
      <w:tr>
        <w:trPr/>
        <w:tc>
          <w:tcPr>
            <w:tcW w:w="372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11,749</w:t>
            </w:r>
          </w:p>
        </w:tc>
        <w:tc>
          <w:tcPr>
            <w:tcW w:w="110" w:type="dxa"/>
            <w:tcBorders/>
            <w:shd w:fill="FFFFFF" w:val="clear"/>
            <w:vAlign w:val="center"/>
          </w:tcPr>
          <w:p>
            <w:pPr>
              <w:pStyle w:val="TableContents"/>
              <w:bidi w:val="0"/>
              <w:spacing w:before="0" w:after="283"/>
              <w:jc w:val="left"/>
              <w:rPr/>
            </w:pPr>
            <w:r>
              <w:rPr/>
              <w:t> </w:t>
            </w:r>
            <w:bookmarkStart w:id="323" w:name="xdx_407_eus-gaap--PaymentsToAcquireHeldT"/>
            <w:bookmarkEnd w:id="323"/>
          </w:p>
        </w:tc>
      </w:tr>
      <w:tr>
        <w:trPr/>
        <w:tc>
          <w:tcPr>
            <w:tcW w:w="3725" w:type="dxa"/>
            <w:tcBorders/>
            <w:shd w:fill="CCEEFF" w:val="clear"/>
            <w:vAlign w:val="center"/>
          </w:tcPr>
          <w:p>
            <w:pPr>
              <w:pStyle w:val="TableContents"/>
              <w:bidi w:val="0"/>
              <w:spacing w:before="0" w:after="283"/>
              <w:jc w:val="left"/>
              <w:rPr/>
            </w:pPr>
            <w:r>
              <w:rPr/>
              <w:t>Maturity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(19,760</w:t>
            </w:r>
          </w:p>
        </w:tc>
        <w:tc>
          <w:tcPr>
            <w:tcW w:w="110" w:type="dxa"/>
            <w:tcBorders/>
            <w:shd w:fill="CCEEFF" w:val="clear"/>
            <w:vAlign w:val="center"/>
          </w:tcPr>
          <w:p>
            <w:pPr>
              <w:pStyle w:val="TableContents"/>
              <w:bidi w:val="0"/>
              <w:spacing w:before="0" w:after="283"/>
              <w:jc w:val="left"/>
              <w:rPr/>
            </w:pPr>
            <w:r>
              <w:rPr/>
              <w:t>)</w:t>
            </w:r>
            <w:bookmarkStart w:id="324" w:name="xdx_404_eus-gaap--ProceedsFromInterestRe"/>
            <w:bookmarkEnd w:id="324"/>
          </w:p>
        </w:tc>
      </w:tr>
      <w:tr>
        <w:trPr/>
        <w:tc>
          <w:tcPr>
            <w:tcW w:w="3725" w:type="dxa"/>
            <w:tcBorders/>
            <w:shd w:fill="FFFFFF" w:val="clear"/>
            <w:vAlign w:val="center"/>
          </w:tcPr>
          <w:p>
            <w:pPr>
              <w:pStyle w:val="TableContents"/>
              <w:bidi w:val="0"/>
              <w:spacing w:before="0" w:after="283"/>
              <w:jc w:val="left"/>
              <w:rPr/>
            </w:pPr>
            <w:r>
              <w:rPr/>
              <w:t>Interest received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(109</w:t>
            </w:r>
          </w:p>
        </w:tc>
        <w:tc>
          <w:tcPr>
            <w:tcW w:w="110" w:type="dxa"/>
            <w:tcBorders/>
            <w:shd w:fill="FFFFFF" w:val="clear"/>
            <w:vAlign w:val="center"/>
          </w:tcPr>
          <w:p>
            <w:pPr>
              <w:pStyle w:val="TableContents"/>
              <w:bidi w:val="0"/>
              <w:spacing w:before="0" w:after="283"/>
              <w:jc w:val="left"/>
              <w:rPr/>
            </w:pPr>
            <w:r>
              <w:rPr/>
              <w:t>)</w:t>
            </w:r>
            <w:bookmarkStart w:id="325" w:name="xdx_40F_ecustom--ChangesInFairValueMarke"/>
            <w:bookmarkEnd w:id="325"/>
          </w:p>
        </w:tc>
      </w:tr>
      <w:tr>
        <w:trPr/>
        <w:tc>
          <w:tcPr>
            <w:tcW w:w="3725" w:type="dxa"/>
            <w:tcBorders/>
            <w:shd w:fill="CCEEFF" w:val="clear"/>
            <w:vAlign w:val="center"/>
          </w:tcPr>
          <w:p>
            <w:pPr>
              <w:pStyle w:val="TableContents"/>
              <w:bidi w:val="0"/>
              <w:spacing w:before="0" w:after="283"/>
              <w:jc w:val="left"/>
              <w:rPr/>
            </w:pPr>
            <w:r>
              <w:rPr/>
              <w:t>Changes in fair value during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264</w:t>
            </w:r>
          </w:p>
        </w:tc>
        <w:tc>
          <w:tcPr>
            <w:tcW w:w="110" w:type="dxa"/>
            <w:tcBorders/>
            <w:shd w:fill="CCEEFF" w:val="clear"/>
            <w:vAlign w:val="center"/>
          </w:tcPr>
          <w:p>
            <w:pPr>
              <w:pStyle w:val="TableContents"/>
              <w:bidi w:val="0"/>
              <w:spacing w:before="0" w:after="283"/>
              <w:jc w:val="left"/>
              <w:rPr/>
            </w:pPr>
            <w:r>
              <w:rPr/>
              <w:t> </w:t>
            </w:r>
            <w:bookmarkStart w:id="326" w:name="xdx_40F_eus-gaap--MarketableSecuritiesCu"/>
            <w:bookmarkEnd w:id="326"/>
          </w:p>
        </w:tc>
      </w:tr>
      <w:tr>
        <w:trPr/>
        <w:tc>
          <w:tcPr>
            <w:tcW w:w="3725" w:type="dxa"/>
            <w:tcBorders/>
            <w:shd w:fill="FFFFFF" w:val="clear"/>
            <w:vAlign w:val="center"/>
          </w:tcPr>
          <w:p>
            <w:pPr>
              <w:pStyle w:val="TableContents"/>
              <w:bidi w:val="0"/>
              <w:spacing w:before="0" w:after="283"/>
              <w:jc w:val="left"/>
              <w:rPr/>
            </w:pPr>
            <w:r>
              <w:rPr/>
              <w:t>Balance at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15,272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7,865</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jc w:val="center"/>
        <w:rPr>
          <w:caps w:val="false"/>
          <w:smallCaps w:val="false"/>
        </w:rPr>
      </w:pPr>
      <w:bookmarkStart w:id="327" w:name="xdx_8A4_zhTO12N0utVd"/>
      <w:bookmarkEnd w:id="32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8" w:name="xdx_800_eus-gaap--StockholdersEquityNote"/>
      <w:bookmarkEnd w:id="328"/>
      <w:r>
        <w:rPr>
          <w:rFonts w:ascii="Times New Roman;Times;Serif" w:hAnsi="Times New Roman;Times;Serif"/>
          <w:b/>
          <w:i w:val="false"/>
          <w:caps w:val="false"/>
          <w:smallCaps w:val="false"/>
          <w:sz w:val="20"/>
        </w:rPr>
        <w:t xml:space="preserve">NOTE 6 - </w:t>
      </w:r>
      <w:bookmarkStart w:id="329" w:name="xdx_82E_zfrXtSDMnZvi"/>
      <w:bookmarkEnd w:id="329"/>
      <w:r>
        <w:rPr>
          <w:rFonts w:ascii="Times New Roman;Times;Serif" w:hAnsi="Times New Roman;Times;Serif"/>
          <w:b/>
          <w:i w:val="false"/>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w:t>
            </w:r>
            <w:bookmarkStart w:id="330" w:name="xdx_90E_eus-gaap--CapitalUnitsAuthorized"/>
            <w:bookmarkEnd w:id="330"/>
            <w:r>
              <w:rPr>
                <w:rFonts w:ascii="Times New Roman;Times;Serif" w:hAnsi="Times New Roman;Times;Serif"/>
                <w:b w:val="false"/>
                <w:i w:val="false"/>
                <w:caps w:val="false"/>
                <w:smallCaps w:val="false"/>
                <w:sz w:val="20"/>
              </w:rPr>
              <w:t>255,000,000 authorized shares of capital stock, par value $</w:t>
            </w:r>
            <w:bookmarkStart w:id="331" w:name="xdx_903_ecustom--CapitalStockParOrStated"/>
            <w:bookmarkEnd w:id="331"/>
            <w:r>
              <w:rPr>
                <w:rFonts w:ascii="Times New Roman;Times;Serif" w:hAnsi="Times New Roman;Times;Serif"/>
                <w:b w:val="false"/>
                <w:i w:val="false"/>
                <w:caps w:val="false"/>
                <w:smallCaps w:val="false"/>
                <w:sz w:val="20"/>
              </w:rPr>
              <w:t xml:space="preserve">0.0001 per share, of which </w:t>
            </w:r>
            <w:bookmarkStart w:id="332" w:name="xdx_90F_eus-gaap--CommonStockSharesAutho"/>
            <w:bookmarkEnd w:id="332"/>
            <w:r>
              <w:rPr>
                <w:rFonts w:ascii="Times New Roman;Times;Serif" w:hAnsi="Times New Roman;Times;Serif"/>
                <w:b w:val="false"/>
                <w:i w:val="false"/>
                <w:caps w:val="false"/>
                <w:smallCaps w:val="false"/>
                <w:sz w:val="20"/>
              </w:rPr>
              <w:t xml:space="preserve">250,000,000 are shares of common stock and </w:t>
            </w:r>
            <w:bookmarkStart w:id="333" w:name="xdx_90B_eus-gaap--PreferredStockSharesAu"/>
            <w:bookmarkEnd w:id="333"/>
            <w:r>
              <w:rPr>
                <w:rFonts w:ascii="Times New Roman;Times;Serif" w:hAnsi="Times New Roman;Times;Serif"/>
                <w:b w:val="false"/>
                <w:i w:val="false"/>
                <w:caps w:val="false"/>
                <w:smallCaps w:val="false"/>
                <w:sz w:val="20"/>
              </w:rPr>
              <w:t>5,000,000 are shares of “blank check” 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w:t>
            </w:r>
            <w:bookmarkStart w:id="334" w:name="xdx_902_eus-gaap--PreferredStockSharesOu"/>
            <w:bookmarkEnd w:id="334"/>
            <w:r>
              <w:rPr>
                <w:rFonts w:ascii="Times New Roman;Times;Serif" w:hAnsi="Times New Roman;Times;Serif"/>
                <w:b w:val="false"/>
                <w:i w:val="false"/>
                <w:caps w:val="false"/>
                <w:smallCaps w:val="false"/>
                <w:sz w:val="20"/>
              </w:rPr>
              <w:t xml:space="preserve">1,718 shares of Series C preferred stock outstanding, convertible into an aggregate of </w:t>
            </w:r>
            <w:bookmarkStart w:id="335" w:name="xdx_90E_eus-gaap--PreferredStockConverti"/>
            <w:bookmarkEnd w:id="335"/>
            <w:r>
              <w:rPr>
                <w:rFonts w:ascii="Times New Roman;Times;Serif" w:hAnsi="Times New Roman;Times;Serif"/>
                <w:b w:val="false"/>
                <w:i w:val="false"/>
                <w:caps w:val="false"/>
                <w:smallCaps w:val="false"/>
                <w:sz w:val="20"/>
              </w:rPr>
              <w:t>7,952 shares of the Company’s common stock, with a total stated value of $</w:t>
            </w:r>
            <w:bookmarkStart w:id="336" w:name="xdx_904_eus-gaap--PreferredStockConverti"/>
            <w:bookmarkEnd w:id="336"/>
            <w:r>
              <w:rPr>
                <w:rFonts w:ascii="Times New Roman;Times;Serif" w:hAnsi="Times New Roman;Times;Serif"/>
                <w:b w:val="false"/>
                <w:i w:val="false"/>
                <w:caps w:val="false"/>
                <w:smallCaps w:val="false"/>
                <w:sz w:val="20"/>
              </w:rPr>
              <w:t>10,997.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9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are </w:t>
            </w:r>
            <w:bookmarkStart w:id="337" w:name="xdx_909_eus-gaap--ClassOfWarrantOrRightN"/>
            <w:bookmarkEnd w:id="337"/>
            <w:r>
              <w:rPr>
                <w:rFonts w:ascii="Times New Roman;Times;Serif" w:hAnsi="Times New Roman;Times;Serif"/>
                <w:b w:val="false"/>
                <w:i w:val="false"/>
                <w:caps w:val="false"/>
                <w:smallCaps w:val="false"/>
                <w:sz w:val="20"/>
              </w:rPr>
              <w:t>43,092,107 outstanding pre-funded warrants.</w:t>
            </w:r>
          </w:p>
        </w:tc>
      </w:tr>
    </w:tbl>
    <w:p>
      <w:pPr>
        <w:pStyle w:val="TextBody"/>
        <w:bidi w:val="0"/>
        <w:jc w:val="center"/>
        <w:rPr/>
      </w:pPr>
      <w:r>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9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has outstanding warrants to purchase an aggregate of </w:t>
            </w:r>
            <w:bookmarkStart w:id="338" w:name="xdx_90B_eus-gaap--ClassOfWarrantOrRightN"/>
            <w:bookmarkEnd w:id="338"/>
            <w:r>
              <w:rPr>
                <w:rFonts w:ascii="Times New Roman;Times;Serif" w:hAnsi="Times New Roman;Times;Serif"/>
                <w:b w:val="false"/>
                <w:i w:val="false"/>
                <w:caps w:val="false"/>
                <w:smallCaps w:val="false"/>
                <w:sz w:val="20"/>
              </w:rPr>
              <w:t>25,828,164 shares of common stock as follows:</w:t>
            </w:r>
          </w:p>
        </w:tc>
      </w:tr>
    </w:tbl>
    <w:p>
      <w:pPr>
        <w:pStyle w:val="TextBody"/>
        <w:bidi w:val="0"/>
        <w:spacing w:before="0" w:after="283"/>
        <w:jc w:val="left"/>
        <w:rPr/>
      </w:pPr>
      <w:r>
        <w:rPr/>
        <w:t> </w:t>
      </w:r>
    </w:p>
    <w:p>
      <w:pPr>
        <w:pStyle w:val="TextBody"/>
        <w:bidi w:val="0"/>
        <w:spacing w:before="0" w:after="283"/>
        <w:jc w:val="left"/>
        <w:rPr/>
      </w:pPr>
      <w:bookmarkStart w:id="339" w:name="xdx_8BC_zGw15gkCdjv7"/>
      <w:bookmarkStart w:id="340" w:name="xdx_89B_eus-gaap--ScheduleOfStockholders"/>
      <w:bookmarkEnd w:id="339"/>
      <w:bookmarkEnd w:id="340"/>
      <w:r>
        <w:rPr/>
        <w:t>SCHEDULE OF ISSUANCE OF WARRANTS TO PURCHASE COMMON STOCK</w:t>
      </w:r>
    </w:p>
    <w:tbl>
      <w:tblPr>
        <w:tblW w:w="6348" w:type="dxa"/>
        <w:jc w:val="left"/>
        <w:tblInd w:w="0" w:type="dxa"/>
        <w:tblLayout w:type="fixed"/>
        <w:tblCellMar>
          <w:top w:w="0" w:type="dxa"/>
          <w:left w:w="0" w:type="dxa"/>
          <w:bottom w:w="0" w:type="dxa"/>
          <w:right w:w="0" w:type="dxa"/>
        </w:tblCellMar>
      </w:tblPr>
      <w:tblGrid>
        <w:gridCol w:w="1760"/>
        <w:gridCol w:w="60"/>
        <w:gridCol w:w="75"/>
        <w:gridCol w:w="1384"/>
        <w:gridCol w:w="60"/>
        <w:gridCol w:w="60"/>
        <w:gridCol w:w="109"/>
        <w:gridCol w:w="1245"/>
        <w:gridCol w:w="60"/>
        <w:gridCol w:w="60"/>
        <w:gridCol w:w="1475"/>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underlying</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pPr>
            <w:r>
              <w:rPr/>
              <w:t>Expiration date</w:t>
            </w:r>
            <w:bookmarkStart w:id="341" w:name="xdx_F4A_zPH3SCmfNxaj"/>
            <w:bookmarkEnd w:id="341"/>
          </w:p>
        </w:tc>
      </w:tr>
      <w:tr>
        <w:trPr/>
        <w:tc>
          <w:tcPr>
            <w:tcW w:w="1760" w:type="dxa"/>
            <w:tcBorders/>
            <w:shd w:fill="CCEEFF" w:val="clear"/>
            <w:vAlign w:val="center"/>
          </w:tcPr>
          <w:p>
            <w:pPr>
              <w:pStyle w:val="TableContents"/>
              <w:bidi w:val="0"/>
              <w:spacing w:before="0" w:after="283"/>
              <w:jc w:val="both"/>
              <w:rPr/>
            </w:pPr>
            <w:r>
              <w:rPr/>
              <w:t>Series J Warrants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42" w:name="xdx_989_eus-gaap--ClassOfWarrantOrRightN"/>
            <w:bookmarkEnd w:id="342"/>
          </w:p>
        </w:tc>
        <w:tc>
          <w:tcPr>
            <w:tcW w:w="1384" w:type="dxa"/>
            <w:tcBorders/>
            <w:shd w:fill="CCEEFF" w:val="clear"/>
            <w:vAlign w:val="center"/>
          </w:tcPr>
          <w:p>
            <w:pPr>
              <w:pStyle w:val="TableContents"/>
              <w:bidi w:val="0"/>
              <w:spacing w:before="0" w:after="283"/>
              <w:jc w:val="right"/>
              <w:rPr/>
            </w:pPr>
            <w:r>
              <w:rPr/>
              <w:t>12,914,086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bookmarkStart w:id="343" w:name="xdx_983_eus-gaap--ClassOfWarrantOrRightE"/>
            <w:bookmarkEnd w:id="343"/>
          </w:p>
        </w:tc>
        <w:tc>
          <w:tcPr>
            <w:tcW w:w="1245" w:type="dxa"/>
            <w:tcBorders/>
            <w:shd w:fill="CCEEFF" w:val="clear"/>
            <w:vAlign w:val="center"/>
          </w:tcPr>
          <w:p>
            <w:pPr>
              <w:pStyle w:val="TableContents"/>
              <w:bidi w:val="0"/>
              <w:spacing w:before="0" w:after="283"/>
              <w:jc w:val="right"/>
              <w:rPr/>
            </w:pPr>
            <w:r>
              <w:rPr/>
              <w:t>1.3827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bookmarkStart w:id="344" w:name="xdx_90F_ecustom--ClassOfWarrantOrRighstD"/>
            <w:bookmarkEnd w:id="344"/>
            <w:r>
              <w:rPr/>
              <w:t>*</w:t>
            </w:r>
            <w:bookmarkStart w:id="345" w:name="xdx_F4F_zbNKRuPksp6e"/>
            <w:bookmarkEnd w:id="345"/>
          </w:p>
        </w:tc>
      </w:tr>
      <w:tr>
        <w:trPr/>
        <w:tc>
          <w:tcPr>
            <w:tcW w:w="1760" w:type="dxa"/>
            <w:tcBorders/>
            <w:shd w:fill="FFFFFF" w:val="clear"/>
            <w:vAlign w:val="center"/>
          </w:tcPr>
          <w:p>
            <w:pPr>
              <w:pStyle w:val="TableContents"/>
              <w:bidi w:val="0"/>
              <w:spacing w:before="0" w:after="283"/>
              <w:jc w:val="both"/>
              <w:rPr/>
            </w:pPr>
            <w:r>
              <w:rPr/>
              <w:t>Series K Warrants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346" w:name="xdx_987_eus-gaap--ClassOfWarrantOrRightN"/>
            <w:bookmarkEnd w:id="346"/>
          </w:p>
        </w:tc>
        <w:tc>
          <w:tcPr>
            <w:tcW w:w="1384" w:type="dxa"/>
            <w:tcBorders/>
            <w:shd w:fill="FFFFFF" w:val="clear"/>
            <w:vAlign w:val="center"/>
          </w:tcPr>
          <w:p>
            <w:pPr>
              <w:pStyle w:val="TableContents"/>
              <w:bidi w:val="0"/>
              <w:spacing w:before="0" w:after="283"/>
              <w:jc w:val="right"/>
              <w:rPr/>
            </w:pPr>
            <w:r>
              <w:rPr/>
              <w:t>12,914,078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bookmarkStart w:id="347" w:name="xdx_98C_eus-gaap--ClassOfWarrantOrRightE"/>
            <w:bookmarkEnd w:id="347"/>
          </w:p>
        </w:tc>
        <w:tc>
          <w:tcPr>
            <w:tcW w:w="1245" w:type="dxa"/>
            <w:tcBorders/>
            <w:shd w:fill="FFFFFF" w:val="clear"/>
            <w:vAlign w:val="center"/>
          </w:tcPr>
          <w:p>
            <w:pPr>
              <w:pStyle w:val="TableContents"/>
              <w:bidi w:val="0"/>
              <w:spacing w:before="0" w:after="283"/>
              <w:jc w:val="right"/>
              <w:rPr/>
            </w:pPr>
            <w:r>
              <w:rPr/>
              <w:t>1.3827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bookmarkStart w:id="348" w:name="xdx_90A_ecustom--ClassOfWarrantOrRighstD"/>
            <w:bookmarkEnd w:id="348"/>
            <w:r>
              <w:rPr/>
              <w:t>*</w:t>
            </w:r>
          </w:p>
        </w:tc>
      </w:tr>
      <w:tr>
        <w:trPr/>
        <w:tc>
          <w:tcPr>
            <w:tcW w:w="1760" w:type="dxa"/>
            <w:tcBorders/>
            <w:shd w:fill="CCEEFF" w:val="clear"/>
            <w:vAlign w:val="center"/>
          </w:tcPr>
          <w:p>
            <w:pPr>
              <w:pStyle w:val="TableContents"/>
              <w:bidi w:val="0"/>
              <w:spacing w:before="0" w:after="283"/>
              <w:jc w:val="both"/>
              <w:rPr/>
            </w:pPr>
            <w:r>
              <w:rPr/>
              <w:t>Total Warrants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49" w:name="xdx_982_eus-gaap--ClassOfWarrantOrRightN"/>
            <w:bookmarkEnd w:id="349"/>
          </w:p>
        </w:tc>
        <w:tc>
          <w:tcPr>
            <w:tcW w:w="1384" w:type="dxa"/>
            <w:tcBorders/>
            <w:shd w:fill="CCEEFF" w:val="clear"/>
            <w:vAlign w:val="center"/>
          </w:tcPr>
          <w:p>
            <w:pPr>
              <w:pStyle w:val="TableContents"/>
              <w:bidi w:val="0"/>
              <w:spacing w:before="0" w:after="283"/>
              <w:jc w:val="right"/>
              <w:rPr/>
            </w:pPr>
            <w:r>
              <w:rPr/>
              <w:t>25,828,164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bookmarkStart w:id="350" w:name="xdx_F04_zviBAZ00PSAl"/>
            <w:bookmarkEnd w:id="350"/>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51" w:name="xdx_F1A_z5wkkzIZF0U1"/>
            <w:bookmarkEnd w:id="351"/>
            <w:r>
              <w:rPr>
                <w:rFonts w:ascii="Times New Roman;Times;Serif" w:hAnsi="Times New Roman;Times;Serif"/>
                <w:b w:val="false"/>
                <w:i w:val="false"/>
                <w:caps w:val="false"/>
                <w:smallCaps w:val="false"/>
                <w:sz w:val="20"/>
              </w:rPr>
              <w:t>The Series J Warrants and Series K Warrants have a term of the earlier of (i) May 15, 2028 and (ii) (A) in the case of the Series J Warrants, 20 trading days following the Company’s announcement of receipt of FDA approval for the SwitchGuard and CGuard Prime 80 cm and (B) in the case of the Series K Warrants, 20 trading days following the end of the fourth fiscal quarter after the fiscal quarter in which the first commercial sales of CGuard Prime in the U.S. begins. Following the commencement of the first commercial sales of CGuard Prime in the United States, which occurred during the third fiscal quarter of 2025 in July 2025, the Series K Warrants are scheduled to expire twenty (20) trading days after the end of the fourth fiscal quarter thereafter, which is October 28, 2026. </w:t>
            </w:r>
          </w:p>
        </w:tc>
      </w:tr>
    </w:tbl>
    <w:p>
      <w:pPr>
        <w:pStyle w:val="TextBody"/>
        <w:bidi w:val="0"/>
        <w:spacing w:before="0" w:after="283"/>
        <w:jc w:val="left"/>
        <w:rPr/>
      </w:pPr>
      <w:bookmarkStart w:id="352" w:name="xdx_8A6_zPSLE1amhC15"/>
      <w:bookmarkEnd w:id="352"/>
      <w:r>
        <w:rPr/>
        <w:t> </w:t>
      </w:r>
    </w:p>
    <w:tbl>
      <w:tblPr>
        <w:tblW w:w="8525" w:type="dxa"/>
        <w:jc w:val="left"/>
        <w:tblInd w:w="0" w:type="dxa"/>
        <w:tblLayout w:type="fixed"/>
        <w:tblCellMar>
          <w:top w:w="0" w:type="dxa"/>
          <w:left w:w="0" w:type="dxa"/>
          <w:bottom w:w="0" w:type="dxa"/>
          <w:right w:w="0" w:type="dxa"/>
        </w:tblCellMar>
      </w:tblPr>
      <w:tblGrid>
        <w:gridCol w:w="75"/>
        <w:gridCol w:w="60"/>
        <w:gridCol w:w="83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a total of </w:t>
            </w:r>
            <w:bookmarkStart w:id="353" w:name="xdx_90B_ecustom--WarrantsExpired_pid_c20"/>
            <w:bookmarkEnd w:id="353"/>
            <w:r>
              <w:rPr>
                <w:rFonts w:ascii="Times New Roman;Times;Serif" w:hAnsi="Times New Roman;Times;Serif"/>
                <w:b w:val="false"/>
                <w:i w:val="false"/>
                <w:caps w:val="false"/>
                <w:smallCaps w:val="false"/>
                <w:sz w:val="20"/>
              </w:rPr>
              <w:t>1,092,344 Series G warrants expired unexercised.</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99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granted </w:t>
            </w:r>
            <w:bookmarkStart w:id="354" w:name="xdx_901_eus-gaap--ShareBasedCompensation"/>
            <w:bookmarkEnd w:id="354"/>
            <w:r>
              <w:rPr>
                <w:rFonts w:ascii="Times New Roman;Times;Serif" w:hAnsi="Times New Roman;Times;Serif"/>
                <w:b w:val="false"/>
                <w:i w:val="false"/>
                <w:caps w:val="false"/>
                <w:smallCaps w:val="false"/>
                <w:sz w:val="20"/>
              </w:rPr>
              <w:t>3,725,216 restricted shares of the Company’s common stock to employees and directors. The shares granted to employees are subject to a three-year vesting period, with one-third of such awards vesting each year, subject to continued service. The shares granted to directors are subject to a one-year vesting period, subject to continued service.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restricted shares was approximately $</w:t>
            </w:r>
            <w:bookmarkStart w:id="355" w:name="xdx_90E_eus-gaap--SharebasedCompensation"/>
            <w:bookmarkEnd w:id="355"/>
            <w:r>
              <w:rPr>
                <w:rFonts w:ascii="Times New Roman;Times;Serif" w:hAnsi="Times New Roman;Times;Serif"/>
                <w:b w:val="false"/>
                <w:i w:val="false"/>
                <w:caps w:val="false"/>
                <w:smallCaps w:val="false"/>
                <w:sz w:val="20"/>
              </w:rPr>
              <w:t>5.8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granted </w:t>
            </w:r>
            <w:bookmarkStart w:id="356" w:name="xdx_908_eus-gaap--ShareBasedCompensation"/>
            <w:bookmarkEnd w:id="356"/>
            <w:r>
              <w:rPr>
                <w:rFonts w:ascii="Times New Roman;Times;Serif" w:hAnsi="Times New Roman;Times;Serif"/>
                <w:b w:val="false"/>
                <w:i w:val="false"/>
                <w:caps w:val="false"/>
                <w:smallCaps w:val="false"/>
                <w:sz w:val="20"/>
              </w:rPr>
              <w:t>1,114,792 restricted stock units convertible into shares of the Company’s common stock to the Company’s chief executive officer. The restricted stock units are subject to a three-year vesting period, with one-third of such awards vesting each year, subject to continued service.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restricted stock units was approximately $</w:t>
            </w:r>
            <w:bookmarkStart w:id="357" w:name="xdx_90C_eus-gaap--SharebasedCompensation"/>
            <w:bookmarkEnd w:id="357"/>
            <w:r>
              <w:rPr>
                <w:rFonts w:ascii="Times New Roman;Times;Serif" w:hAnsi="Times New Roman;Times;Serif"/>
                <w:b w:val="false"/>
                <w:i w:val="false"/>
                <w:caps w:val="false"/>
                <w:smallCaps w:val="false"/>
                <w:sz w:val="20"/>
              </w:rPr>
              <w:t>1.8 million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8" w:name="xdx_803_eus-gaap--RelatedPartyTransactio"/>
      <w:bookmarkEnd w:id="358"/>
      <w:r>
        <w:rPr>
          <w:rFonts w:ascii="Times New Roman;Times;Serif" w:hAnsi="Times New Roman;Times;Serif"/>
          <w:b/>
          <w:i w:val="false"/>
          <w:caps w:val="false"/>
          <w:smallCaps w:val="false"/>
          <w:sz w:val="20"/>
        </w:rPr>
        <w:t xml:space="preserve">NOTE 7 – </w:t>
      </w:r>
      <w:bookmarkStart w:id="359" w:name="xdx_82A_zqigLvmkTBP6"/>
      <w:bookmarkEnd w:id="359"/>
      <w:r>
        <w:rPr>
          <w:rFonts w:ascii="Times New Roman;Times;Serif" w:hAnsi="Times New Roman;Times;Serif"/>
          <w:b/>
          <w:i w:val="false"/>
          <w:caps w:val="false"/>
          <w:smallCaps w:val="false"/>
          <w:sz w:val="20"/>
        </w:rPr>
        <w:t>RELATED PARTIES TRANSACTIONS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2025, administrative services provided by a member of the chief executive officer’s immediate family in connection with the Company’s expansion to the U.S. amounted to $</w:t>
      </w:r>
      <w:bookmarkStart w:id="360" w:name="xdx_900_eus-gaap--RelatedPartyTransactio"/>
      <w:bookmarkEnd w:id="360"/>
      <w:r>
        <w:rPr>
          <w:rFonts w:ascii="Times New Roman;Times;Serif" w:hAnsi="Times New Roman;Times;Serif"/>
          <w:b w:val="false"/>
          <w:i w:val="false"/>
          <w:caps w:val="false"/>
          <w:smallCaps w:val="false"/>
          <w:sz w:val="20"/>
        </w:rPr>
        <w:t>24 and $</w:t>
      </w:r>
      <w:bookmarkStart w:id="361" w:name="xdx_902_eus-gaap--RelatedPartyTransactio"/>
      <w:bookmarkEnd w:id="361"/>
      <w:r>
        <w:rPr>
          <w:rFonts w:ascii="Times New Roman;Times;Serif" w:hAnsi="Times New Roman;Times;Serif"/>
          <w:b w:val="false"/>
          <w:i w:val="false"/>
          <w:caps w:val="false"/>
          <w:smallCaps w:val="false"/>
          <w:sz w:val="20"/>
        </w:rPr>
        <w:t>48 thousand, respectively. The engagement with the related party was terminated in July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2" w:name="xdx_80A_eus-gaap--EarningsPerShareTextBl"/>
      <w:bookmarkEnd w:id="362"/>
      <w:r>
        <w:rPr>
          <w:rFonts w:ascii="Times New Roman;Times;Serif" w:hAnsi="Times New Roman;Times;Serif"/>
          <w:b/>
          <w:i w:val="false"/>
          <w:caps w:val="false"/>
          <w:smallCaps w:val="false"/>
          <w:sz w:val="20"/>
        </w:rPr>
        <w:t xml:space="preserve">NOTE 8 - </w:t>
      </w:r>
      <w:bookmarkStart w:id="363" w:name="xdx_827_z8xyjxmrmSvk"/>
      <w:bookmarkEnd w:id="363"/>
      <w:r>
        <w:rPr>
          <w:rFonts w:ascii="Times New Roman;Times;Serif" w:hAnsi="Times New Roman;Times;Serif"/>
          <w:b/>
          <w:i w:val="false"/>
          <w:caps w:val="false"/>
          <w:smallCaps w:val="false"/>
          <w:sz w:val="20"/>
        </w:rPr>
        <w:t>NET LOSS PER SHARE: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is computed by dividing the net loss for the period by the weighted average number of shares of common stock, pre-funded warrants and fully vested restricted stock units outstanding during the period. The calculation of diluted net loss per share excludes the effect of potential dilution of share options, warrants, and unvested restricted stocks, unvested restricted stock units and Series C preferred stock as the effect is anti-dilutive.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calculating basic net loss per share, the additional shares of common stock that are issuable upon exercise of the pre-funded warrants have been included since the shares are issuable for a negligible consideration, as determined by the Company according to ASC 260-10-45-13, and have no vesting or other contingencies associated with them.</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number of shares of common stock related to outstanding options, warrants, unvested restricted stock, unvested restricted stock units and Series C preferred stock, which were excluded from the calculations of diluted loss per share were </w:t>
      </w:r>
      <w:bookmarkStart w:id="364" w:name="xdx_909_eus-gaap--AntidilutiveSecurities"/>
      <w:bookmarkStart w:id="365" w:name="xdx_90B_eus-gaap--AntidilutiveSecurities"/>
      <w:bookmarkEnd w:id="364"/>
      <w:bookmarkEnd w:id="365"/>
      <w:r>
        <w:rPr>
          <w:rFonts w:ascii="Times New Roman;Times;Serif" w:hAnsi="Times New Roman;Times;Serif"/>
          <w:b w:val="false"/>
          <w:i w:val="false"/>
          <w:caps w:val="false"/>
          <w:smallCaps w:val="false"/>
          <w:sz w:val="20"/>
        </w:rPr>
        <w:t xml:space="preserve">38,356,174 and </w:t>
      </w:r>
      <w:bookmarkStart w:id="366" w:name="xdx_904_eus-gaap--AntidilutiveSecurities"/>
      <w:bookmarkStart w:id="367" w:name="xdx_904_eus-gaap--AntidilutiveSecurities"/>
      <w:bookmarkEnd w:id="366"/>
      <w:bookmarkEnd w:id="367"/>
      <w:r>
        <w:rPr>
          <w:rFonts w:ascii="Times New Roman;Times;Serif" w:hAnsi="Times New Roman;Times;Serif"/>
          <w:b w:val="false"/>
          <w:i w:val="false"/>
          <w:caps w:val="false"/>
          <w:smallCaps w:val="false"/>
          <w:sz w:val="20"/>
        </w:rPr>
        <w:t xml:space="preserve">49,201,359 for the six and three-month periods ended June 30, 2026 and 2025, respectively. This amount includes </w:t>
      </w:r>
      <w:bookmarkStart w:id="368" w:name="xdx_901_eus-gaap--ShareBasedCompensation"/>
      <w:bookmarkEnd w:id="368"/>
      <w:r>
        <w:rPr>
          <w:rFonts w:ascii="Times New Roman;Times;Serif" w:hAnsi="Times New Roman;Times;Serif"/>
          <w:b w:val="false"/>
          <w:i w:val="false"/>
          <w:caps w:val="false"/>
          <w:smallCaps w:val="false"/>
          <w:sz w:val="20"/>
        </w:rPr>
        <w:t xml:space="preserve">6,734,737 and </w:t>
      </w:r>
      <w:bookmarkStart w:id="369" w:name="xdx_900_eus-gaap--ShareBasedCompensation"/>
      <w:bookmarkEnd w:id="369"/>
      <w:r>
        <w:rPr>
          <w:rFonts w:ascii="Times New Roman;Times;Serif" w:hAnsi="Times New Roman;Times;Serif"/>
          <w:b w:val="false"/>
          <w:i w:val="false"/>
          <w:caps w:val="false"/>
          <w:smallCaps w:val="false"/>
          <w:sz w:val="20"/>
        </w:rPr>
        <w:t>5,456,724 of unvested restricted stock included in the number of issued and outstanding shares as of June 30, 2026 and 2025, respectively.</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370" w:name="xdx_89F_eus-gaap--ScheduleOfWeightedAver"/>
      <w:bookmarkEnd w:id="370"/>
      <w:r>
        <w:rPr>
          <w:rFonts w:ascii="Times New Roman;Times;Serif" w:hAnsi="Times New Roman;Times;Serif"/>
          <w:b w:val="false"/>
          <w:i w:val="false"/>
          <w:caps w:val="false"/>
          <w:smallCaps w:val="false"/>
          <w:sz w:val="20"/>
        </w:rPr>
        <w:t>For the six and three months ended June 30, 2026, and 2025, the weighted average number of common stock used in computing net loss per share - basic and diluted was as follows: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71" w:name="xdx_8B4_zBdmHN4FiA17"/>
      <w:bookmarkEnd w:id="371"/>
      <w:r>
        <w:rPr>
          <w:rFonts w:ascii="Times New Roman;Times;Serif" w:hAnsi="Times New Roman;Times;Serif"/>
          <w:b w:val="false"/>
          <w:i w:val="false"/>
          <w:caps w:val="false"/>
          <w:smallCaps w:val="false"/>
          <w:sz w:val="20"/>
        </w:rPr>
        <w:t>SCHEDULE OF WEIGHTED AVERAGE NUMBER OF SHARES</w:t>
      </w:r>
    </w:p>
    <w:tbl>
      <w:tblPr>
        <w:tblW w:w="10205" w:type="dxa"/>
        <w:jc w:val="left"/>
        <w:tblInd w:w="0" w:type="dxa"/>
        <w:tblLayout w:type="fixed"/>
        <w:tblCellMar>
          <w:top w:w="0" w:type="dxa"/>
          <w:left w:w="0" w:type="dxa"/>
          <w:bottom w:w="0" w:type="dxa"/>
          <w:right w:w="0" w:type="dxa"/>
        </w:tblCellMar>
      </w:tblPr>
      <w:tblGrid>
        <w:gridCol w:w="5070"/>
        <w:gridCol w:w="60"/>
        <w:gridCol w:w="60"/>
        <w:gridCol w:w="1100"/>
        <w:gridCol w:w="60"/>
        <w:gridCol w:w="60"/>
        <w:gridCol w:w="60"/>
        <w:gridCol w:w="1100"/>
        <w:gridCol w:w="60"/>
        <w:gridCol w:w="60"/>
        <w:gridCol w:w="60"/>
        <w:gridCol w:w="1100"/>
        <w:gridCol w:w="60"/>
        <w:gridCol w:w="60"/>
        <w:gridCol w:w="60"/>
        <w:gridCol w:w="1100"/>
        <w:gridCol w:w="75"/>
      </w:tblGrid>
      <w:tr>
        <w:trPr/>
        <w:tc>
          <w:tcPr>
            <w:tcW w:w="5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2" w:name="xdx_49B_20260401__20260630_zUbnqWH9CU15"/>
            <w:bookmarkEnd w:id="372"/>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3" w:name="xdx_49B_20250401__20250630_zYiFtIE91wq4"/>
            <w:bookmarkEnd w:id="373"/>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4" w:name="xdx_494_20260101__20260630_z0LNY3b5kaP5"/>
            <w:bookmarkEnd w:id="374"/>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5" w:name="xdx_49F_20250101__20250630_zQHIcPyTBqkl"/>
            <w:bookmarkEnd w:id="375"/>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5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5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bookmarkStart w:id="376" w:name="xdx_406_ecustom--WeightedAverageNumberOf"/>
            <w:bookmarkEnd w:id="376"/>
          </w:p>
        </w:tc>
      </w:tr>
      <w:tr>
        <w:trPr/>
        <w:tc>
          <w:tcPr>
            <w:tcW w:w="5070" w:type="dxa"/>
            <w:tcBorders/>
            <w:shd w:fill="CCEEFF" w:val="clear"/>
            <w:vAlign w:val="center"/>
          </w:tcPr>
          <w:p>
            <w:pPr>
              <w:pStyle w:val="TableContents"/>
              <w:bidi w:val="0"/>
              <w:spacing w:before="0" w:after="283"/>
              <w:jc w:val="left"/>
              <w:rPr/>
            </w:pPr>
            <w:r>
              <w:rPr/>
              <w:t>Weighted average number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39,903,736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25,292,694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39,598,447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24,419,172</w:t>
            </w:r>
          </w:p>
        </w:tc>
        <w:tc>
          <w:tcPr>
            <w:tcW w:w="75" w:type="dxa"/>
            <w:tcBorders/>
            <w:shd w:fill="CCEEFF" w:val="clear"/>
            <w:vAlign w:val="center"/>
          </w:tcPr>
          <w:p>
            <w:pPr>
              <w:pStyle w:val="TableContents"/>
              <w:bidi w:val="0"/>
              <w:spacing w:before="0" w:after="283"/>
              <w:jc w:val="left"/>
              <w:rPr/>
            </w:pPr>
            <w:r>
              <w:rPr/>
              <w:t> </w:t>
            </w:r>
            <w:bookmarkStart w:id="377" w:name="xdx_403_ecustom--WeightedAverageNumberOf"/>
            <w:bookmarkEnd w:id="377"/>
          </w:p>
        </w:tc>
      </w:tr>
      <w:tr>
        <w:trPr/>
        <w:tc>
          <w:tcPr>
            <w:tcW w:w="5070" w:type="dxa"/>
            <w:tcBorders/>
            <w:shd w:fill="FFFFFF" w:val="clear"/>
            <w:vAlign w:val="center"/>
          </w:tcPr>
          <w:p>
            <w:pPr>
              <w:pStyle w:val="TableContents"/>
              <w:bidi w:val="0"/>
              <w:spacing w:before="0" w:after="283"/>
              <w:jc w:val="left"/>
              <w:rPr/>
            </w:pPr>
            <w:r>
              <w:rPr/>
              <w:t>Weighted average Vested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1,664,100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941,744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1,546,188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834,115</w:t>
            </w:r>
          </w:p>
        </w:tc>
        <w:tc>
          <w:tcPr>
            <w:tcW w:w="75" w:type="dxa"/>
            <w:tcBorders/>
            <w:shd w:fill="FFFFFF" w:val="clear"/>
            <w:vAlign w:val="center"/>
          </w:tcPr>
          <w:p>
            <w:pPr>
              <w:pStyle w:val="TableContents"/>
              <w:bidi w:val="0"/>
              <w:spacing w:before="0" w:after="283"/>
              <w:jc w:val="left"/>
              <w:rPr/>
            </w:pPr>
            <w:r>
              <w:rPr/>
              <w:t> </w:t>
            </w:r>
            <w:bookmarkStart w:id="378" w:name="xdx_405_ecustom--WeightedAverageNumberOf"/>
            <w:bookmarkEnd w:id="378"/>
          </w:p>
        </w:tc>
      </w:tr>
      <w:tr>
        <w:trPr/>
        <w:tc>
          <w:tcPr>
            <w:tcW w:w="5070" w:type="dxa"/>
            <w:tcBorders/>
            <w:shd w:fill="CCEEFF" w:val="clear"/>
            <w:vAlign w:val="center"/>
          </w:tcPr>
          <w:p>
            <w:pPr>
              <w:pStyle w:val="TableContents"/>
              <w:bidi w:val="0"/>
              <w:spacing w:before="0" w:after="283"/>
              <w:jc w:val="left"/>
              <w:rPr/>
            </w:pPr>
            <w:r>
              <w:rPr/>
              <w:t>Weighted average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43,092,107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24,769,462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43,092,107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25,255,373</w:t>
            </w:r>
          </w:p>
        </w:tc>
        <w:tc>
          <w:tcPr>
            <w:tcW w:w="75" w:type="dxa"/>
            <w:tcBorders/>
            <w:shd w:fill="CCEEFF" w:val="clear"/>
            <w:vAlign w:val="center"/>
          </w:tcPr>
          <w:p>
            <w:pPr>
              <w:pStyle w:val="TableContents"/>
              <w:bidi w:val="0"/>
              <w:spacing w:before="0" w:after="283"/>
              <w:jc w:val="left"/>
              <w:rPr/>
            </w:pPr>
            <w:r>
              <w:rPr/>
              <w:t> </w:t>
            </w:r>
          </w:p>
        </w:tc>
      </w:tr>
      <w:tr>
        <w:trPr/>
        <w:tc>
          <w:tcPr>
            <w:tcW w:w="5070" w:type="dxa"/>
            <w:tcBorders/>
            <w:shd w:fill="FFFFFF" w:val="clear"/>
            <w:vAlign w:val="center"/>
          </w:tcPr>
          <w:p>
            <w:pPr>
              <w:pStyle w:val="TableContents"/>
              <w:bidi w:val="0"/>
              <w:spacing w:before="0" w:after="283"/>
              <w:jc w:val="left"/>
              <w:rPr/>
            </w:pPr>
            <w:r>
              <w:rPr/>
              <w:t>Total Weighted average number of common stock used in computing 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379" w:name="xdx_906_eus-gaap--WeightedAverageNumberO"/>
            <w:bookmarkStart w:id="380" w:name="xdx_900_eus-gaap--WeightedAverageNumberO"/>
            <w:bookmarkEnd w:id="379"/>
            <w:bookmarkEnd w:id="380"/>
            <w:r>
              <w:rPr/>
              <w:t>84,659,943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381" w:name="xdx_900_eus-gaap--WeightedAverageNumberO"/>
            <w:bookmarkStart w:id="382" w:name="xdx_90D_eus-gaap--WeightedAverageNumberO"/>
            <w:bookmarkEnd w:id="381"/>
            <w:bookmarkEnd w:id="382"/>
            <w:r>
              <w:rPr/>
              <w:t>51,003,900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383" w:name="xdx_90E_eus-gaap--WeightedAverageNumberO"/>
            <w:bookmarkStart w:id="384" w:name="xdx_90A_eus-gaap--WeightedAverageNumberO"/>
            <w:bookmarkEnd w:id="383"/>
            <w:bookmarkEnd w:id="384"/>
            <w:r>
              <w:rPr/>
              <w:t>84,236,742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385" w:name="xdx_90B_eus-gaap--WeightedAverageNumberO"/>
            <w:bookmarkStart w:id="386" w:name="xdx_905_eus-gaap--WeightedAverageNumberO"/>
            <w:bookmarkEnd w:id="385"/>
            <w:bookmarkEnd w:id="386"/>
            <w:r>
              <w:rPr/>
              <w:t>50,508,660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387" w:name="xdx_8AC_zHfvzJkraSue"/>
      <w:bookmarkEnd w:id="387"/>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8" w:name="xdx_80A_eus-gaap--FinancialInstrumentsDi"/>
      <w:bookmarkEnd w:id="388"/>
      <w:r>
        <w:rPr>
          <w:rFonts w:ascii="Times New Roman;Times;Serif" w:hAnsi="Times New Roman;Times;Serif"/>
          <w:b/>
          <w:i w:val="false"/>
          <w:caps w:val="false"/>
          <w:smallCaps w:val="false"/>
          <w:sz w:val="20"/>
        </w:rPr>
        <w:t xml:space="preserve">NOTE 9 - </w:t>
      </w:r>
      <w:bookmarkStart w:id="389" w:name="xdx_825_z3qhZG1RwPQ1"/>
      <w:bookmarkEnd w:id="389"/>
      <w:r>
        <w:rPr>
          <w:rFonts w:ascii="Times New Roman;Times;Serif" w:hAnsi="Times New Roman;Times;Serif"/>
          <w:b/>
          <w:i w:val="false"/>
          <w:caps w:val="false"/>
          <w:smallCaps w:val="false"/>
          <w:sz w:val="20"/>
        </w:rPr>
        <w:t>FINANCIAL INSTRUMENTS:</w:t>
      </w:r>
    </w:p>
    <w:p>
      <w:pPr>
        <w:pStyle w:val="TextBody"/>
        <w:bidi w:val="0"/>
        <w:spacing w:before="0" w:after="0"/>
        <w:ind w:left="0" w:right="0" w:hanging="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tc>
      </w:tr>
    </w:tbl>
    <w:p>
      <w:pPr>
        <w:pStyle w:val="TextBody"/>
        <w:bidi w:val="0"/>
        <w:spacing w:before="0" w:after="0"/>
        <w:ind w:left="1152"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carrying amounts of accounts payable, accounts receivable and other receivables approximate their fair values due to the short-term maturities of these instruments.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long-term deposit approximates its fair value since it is measured at its present value applying prevailing interest rates.</w:t>
      </w:r>
    </w:p>
    <w:p>
      <w:pPr>
        <w:pStyle w:val="TextBody"/>
        <w:bidi w:val="0"/>
        <w:spacing w:before="0" w:after="0"/>
        <w:ind w:left="1080" w:right="0" w:hanging="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7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allowance for expected credit loss was immaterial.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0" w:name="xdx_80A_eus-gaap--InventoryDisclosureTex"/>
      <w:bookmarkEnd w:id="390"/>
      <w:r>
        <w:rPr>
          <w:rFonts w:ascii="Times New Roman;Times;Serif" w:hAnsi="Times New Roman;Times;Serif"/>
          <w:b/>
          <w:i w:val="false"/>
          <w:caps w:val="false"/>
          <w:smallCaps w:val="false"/>
          <w:sz w:val="20"/>
        </w:rPr>
        <w:t xml:space="preserve">NOTE 10- </w:t>
      </w:r>
      <w:bookmarkStart w:id="391" w:name="xdx_82D_z3Bk24tdPUIe"/>
      <w:bookmarkEnd w:id="391"/>
      <w:r>
        <w:rPr>
          <w:rFonts w:ascii="Times New Roman;Times;Serif" w:hAnsi="Times New Roman;Times;Serif"/>
          <w:b/>
          <w:i w:val="false"/>
          <w:caps w:val="false"/>
          <w:smallCaps w:val="false"/>
          <w:sz w:val="20"/>
        </w:rPr>
        <w:t>INVENTORY:</w:t>
      </w:r>
    </w:p>
    <w:p>
      <w:pPr>
        <w:pStyle w:val="TextBody"/>
        <w:bidi w:val="0"/>
        <w:spacing w:before="0" w:after="0"/>
        <w:jc w:val="center"/>
        <w:rPr>
          <w:rFonts w:ascii="Times New Roman;Times;Serif" w:hAnsi="Times New Roman;Times;Serif"/>
          <w:b w:val="false"/>
          <w:i w:val="false"/>
          <w:caps w:val="false"/>
          <w:smallCaps w:val="false"/>
          <w:sz w:val="20"/>
        </w:rPr>
      </w:pPr>
      <w:bookmarkStart w:id="392" w:name="xdx_8B1_zdRBgITPCWrf"/>
      <w:bookmarkStart w:id="393" w:name="xdx_89E_eus-gaap--ScheduleOfInventoryCur"/>
      <w:bookmarkEnd w:id="392"/>
      <w:bookmarkEnd w:id="393"/>
      <w:r>
        <w:rPr>
          <w:rFonts w:ascii="Times New Roman;Times;Serif" w:hAnsi="Times New Roman;Times;Serif"/>
          <w:b w:val="false"/>
          <w:i w:val="false"/>
          <w:caps w:val="false"/>
          <w:smallCaps w:val="false"/>
          <w:sz w:val="20"/>
        </w:rPr>
        <w:t>SCHEDULE OF INVENTORIES </w:t>
      </w:r>
    </w:p>
    <w:tbl>
      <w:tblPr>
        <w:tblW w:w="5160" w:type="dxa"/>
        <w:jc w:val="left"/>
        <w:tblInd w:w="0" w:type="dxa"/>
        <w:tblLayout w:type="fixed"/>
        <w:tblCellMar>
          <w:top w:w="0" w:type="dxa"/>
          <w:left w:w="0" w:type="dxa"/>
          <w:bottom w:w="0" w:type="dxa"/>
          <w:right w:w="0" w:type="dxa"/>
        </w:tblCellMar>
      </w:tblPr>
      <w:tblGrid>
        <w:gridCol w:w="2615"/>
        <w:gridCol w:w="60"/>
        <w:gridCol w:w="175"/>
        <w:gridCol w:w="700"/>
        <w:gridCol w:w="60"/>
        <w:gridCol w:w="60"/>
        <w:gridCol w:w="283"/>
        <w:gridCol w:w="1132"/>
        <w:gridCol w:w="7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4" w:name="xdx_49C_20260630_zAbJpN2EMjE8"/>
            <w:bookmarkEnd w:id="394"/>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5" w:name="xdx_497_20251231_zaPsA3dN2lB"/>
            <w:bookmarkEnd w:id="395"/>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bookmarkStart w:id="396" w:name="xdx_404_eus-gaap--InventoryFinishedGoods"/>
            <w:bookmarkEnd w:id="396"/>
          </w:p>
        </w:tc>
      </w:tr>
      <w:tr>
        <w:trPr/>
        <w:tc>
          <w:tcPr>
            <w:tcW w:w="261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352</w:t>
            </w:r>
          </w:p>
        </w:tc>
        <w:tc>
          <w:tcPr>
            <w:tcW w:w="75" w:type="dxa"/>
            <w:tcBorders/>
            <w:shd w:fill="CCEEFF" w:val="clear"/>
            <w:vAlign w:val="center"/>
          </w:tcPr>
          <w:p>
            <w:pPr>
              <w:pStyle w:val="TableContents"/>
              <w:bidi w:val="0"/>
              <w:spacing w:before="0" w:after="283"/>
              <w:jc w:val="left"/>
              <w:rPr/>
            </w:pPr>
            <w:r>
              <w:rPr/>
              <w:t> </w:t>
            </w:r>
            <w:bookmarkStart w:id="397" w:name="xdx_40E_eus-gaap--InventoryWorkInProcess"/>
            <w:bookmarkEnd w:id="397"/>
          </w:p>
        </w:tc>
      </w:tr>
      <w:tr>
        <w:trPr/>
        <w:tc>
          <w:tcPr>
            <w:tcW w:w="2615"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930</w:t>
            </w:r>
          </w:p>
        </w:tc>
        <w:tc>
          <w:tcPr>
            <w:tcW w:w="75" w:type="dxa"/>
            <w:tcBorders/>
            <w:shd w:fill="FFFFFF" w:val="clear"/>
            <w:vAlign w:val="center"/>
          </w:tcPr>
          <w:p>
            <w:pPr>
              <w:pStyle w:val="TableContents"/>
              <w:bidi w:val="0"/>
              <w:spacing w:before="0" w:after="283"/>
              <w:jc w:val="left"/>
              <w:rPr/>
            </w:pPr>
            <w:r>
              <w:rPr/>
              <w:t> </w:t>
            </w:r>
            <w:bookmarkStart w:id="398" w:name="xdx_406_eus-gaap--InventoryRawMaterialsA"/>
            <w:bookmarkEnd w:id="398"/>
          </w:p>
        </w:tc>
      </w:tr>
      <w:tr>
        <w:trPr/>
        <w:tc>
          <w:tcPr>
            <w:tcW w:w="2615" w:type="dxa"/>
            <w:tcBorders/>
            <w:shd w:fill="CCEEFF" w:val="clear"/>
            <w:vAlign w:val="center"/>
          </w:tcPr>
          <w:p>
            <w:pPr>
              <w:pStyle w:val="TableContents"/>
              <w:bidi w:val="0"/>
              <w:spacing w:before="0" w:after="283"/>
              <w:jc w:val="left"/>
              <w:rPr/>
            </w:pPr>
            <w:r>
              <w:rPr/>
              <w:t>Raw materials and supplies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2,114</w:t>
            </w:r>
          </w:p>
        </w:tc>
        <w:tc>
          <w:tcPr>
            <w:tcW w:w="75" w:type="dxa"/>
            <w:tcBorders/>
            <w:shd w:fill="CCEEFF" w:val="clear"/>
            <w:vAlign w:val="center"/>
          </w:tcPr>
          <w:p>
            <w:pPr>
              <w:pStyle w:val="TableContents"/>
              <w:bidi w:val="0"/>
              <w:spacing w:before="0" w:after="283"/>
              <w:jc w:val="left"/>
              <w:rPr/>
            </w:pPr>
            <w:r>
              <w:rPr/>
              <w:t> </w:t>
            </w:r>
            <w:bookmarkStart w:id="399" w:name="xdx_404_eus-gaap--InventoryNet_iTI_pn3n3"/>
            <w:bookmarkEnd w:id="399"/>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inventory</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2,701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3,396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00" w:name="xdx_8AF_zznDT6BHxN85"/>
      <w:bookmarkEnd w:id="400"/>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23"/>
        <w:gridCol w:w="10042"/>
      </w:tblGrid>
      <w:tr>
        <w:trPr/>
        <w:tc>
          <w:tcPr>
            <w:tcW w:w="14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pPr>
            <w:r>
              <w:rPr>
                <w:rFonts w:ascii="Times New Roman;Times;Serif" w:hAnsi="Times New Roman;Times;Serif"/>
                <w:sz w:val="20"/>
              </w:rPr>
              <w:t>The Company recorded approximately $</w:t>
            </w:r>
            <w:bookmarkStart w:id="401" w:name="xdx_901_ecustom--InventoryImpairment_pn3"/>
            <w:bookmarkEnd w:id="401"/>
            <w:r>
              <w:rPr>
                <w:rFonts w:ascii="Times New Roman;Times;Serif" w:hAnsi="Times New Roman;Times;Serif"/>
                <w:sz w:val="20"/>
              </w:rPr>
              <w:t>612</w:t>
            </w:r>
            <w:r>
              <w:rPr/>
              <w:t xml:space="preserve"> </w:t>
            </w:r>
            <w:r>
              <w:rPr>
                <w:rFonts w:ascii="Times New Roman;Times;Serif" w:hAnsi="Times New Roman;Times;Serif"/>
                <w:sz w:val="20"/>
              </w:rPr>
              <w:t>thousand of inventory impairment in connection with the voluntary recall during the six months ended June 30, 2026.</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2" w:name="xdx_800_eus-gaap--AccountsPayableAndAccr"/>
      <w:bookmarkEnd w:id="402"/>
      <w:r>
        <w:rPr>
          <w:rFonts w:ascii="Times New Roman;Times;Serif" w:hAnsi="Times New Roman;Times;Serif"/>
          <w:b/>
          <w:i w:val="false"/>
          <w:caps w:val="false"/>
          <w:smallCaps w:val="false"/>
          <w:sz w:val="20"/>
        </w:rPr>
        <w:t xml:space="preserve">NOTE 11 - </w:t>
      </w:r>
      <w:bookmarkStart w:id="403" w:name="xdx_82F_zrwkUwDAONMk"/>
      <w:bookmarkEnd w:id="403"/>
      <w:r>
        <w:rPr>
          <w:rFonts w:ascii="Times New Roman;Times;Serif" w:hAnsi="Times New Roman;Times;Serif"/>
          <w:b/>
          <w:i w:val="false"/>
          <w:caps w:val="false"/>
          <w:smallCaps w:val="false"/>
          <w:sz w:val="20"/>
        </w:rPr>
        <w:t>ACCOUNTS PAYABLE AND ACCRUALS -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04" w:name="xdx_8B6_zIS04IT9OQZg"/>
      <w:bookmarkStart w:id="405" w:name="xdx_890_eus-gaap--ScheduleOfAccountsPaya"/>
      <w:bookmarkEnd w:id="404"/>
      <w:bookmarkEnd w:id="405"/>
      <w:r>
        <w:rPr>
          <w:rFonts w:ascii="Times New Roman;Times;Serif" w:hAnsi="Times New Roman;Times;Serif"/>
          <w:b/>
          <w:i w:val="false"/>
          <w:caps w:val="false"/>
          <w:smallCaps w:val="false"/>
          <w:sz w:val="20"/>
        </w:rPr>
        <w:t>SCHEDULE OF ACCOUNTS PAYABLE AND ACCRUALS - OTHER</w:t>
      </w:r>
    </w:p>
    <w:tbl>
      <w:tblPr>
        <w:tblW w:w="6090" w:type="dxa"/>
        <w:jc w:val="left"/>
        <w:tblInd w:w="0" w:type="dxa"/>
        <w:tblLayout w:type="fixed"/>
        <w:tblCellMar>
          <w:top w:w="0" w:type="dxa"/>
          <w:left w:w="0" w:type="dxa"/>
          <w:bottom w:w="0" w:type="dxa"/>
          <w:right w:w="0" w:type="dxa"/>
        </w:tblCellMar>
      </w:tblPr>
      <w:tblGrid>
        <w:gridCol w:w="3545"/>
        <w:gridCol w:w="60"/>
        <w:gridCol w:w="175"/>
        <w:gridCol w:w="700"/>
        <w:gridCol w:w="60"/>
        <w:gridCol w:w="60"/>
        <w:gridCol w:w="283"/>
        <w:gridCol w:w="1132"/>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6" w:name="xdx_495_20260630_zSXsR5L8yYxl"/>
            <w:bookmarkEnd w:id="406"/>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7" w:name="xdx_494_20251231_zOD320axoJij"/>
            <w:bookmarkEnd w:id="407"/>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bookmarkStart w:id="408" w:name="xdx_40F_eus-gaap--AccruedSalariesCurrent"/>
            <w:bookmarkEnd w:id="408"/>
          </w:p>
        </w:tc>
      </w:tr>
      <w:tr>
        <w:trPr/>
        <w:tc>
          <w:tcPr>
            <w:tcW w:w="3545" w:type="dxa"/>
            <w:tcBorders/>
            <w:shd w:fill="CCEEFF" w:val="clear"/>
            <w:vAlign w:val="center"/>
          </w:tcPr>
          <w:p>
            <w:pPr>
              <w:pStyle w:val="TableContents"/>
              <w:bidi w:val="0"/>
              <w:spacing w:before="0" w:after="283"/>
              <w:jc w:val="left"/>
              <w:rPr/>
            </w:pPr>
            <w:r>
              <w:rPr/>
              <w:t>Employees and employee institutions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3,135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4,925</w:t>
            </w:r>
          </w:p>
        </w:tc>
        <w:tc>
          <w:tcPr>
            <w:tcW w:w="75" w:type="dxa"/>
            <w:tcBorders/>
            <w:shd w:fill="CCEEFF" w:val="clear"/>
            <w:vAlign w:val="center"/>
          </w:tcPr>
          <w:p>
            <w:pPr>
              <w:pStyle w:val="TableContents"/>
              <w:bidi w:val="0"/>
              <w:spacing w:before="0" w:after="283"/>
              <w:jc w:val="left"/>
              <w:rPr/>
            </w:pPr>
            <w:r>
              <w:rPr/>
              <w:t> </w:t>
            </w:r>
            <w:bookmarkStart w:id="409" w:name="xdx_40C_eus-gaap--AccruedVacationCurrent"/>
            <w:bookmarkEnd w:id="409"/>
          </w:p>
        </w:tc>
      </w:tr>
      <w:tr>
        <w:trPr/>
        <w:tc>
          <w:tcPr>
            <w:tcW w:w="3545" w:type="dxa"/>
            <w:tcBorders/>
            <w:shd w:fill="FFFFFF" w:val="clear"/>
            <w:vAlign w:val="center"/>
          </w:tcPr>
          <w:p>
            <w:pPr>
              <w:pStyle w:val="TableContents"/>
              <w:bidi w:val="0"/>
              <w:spacing w:before="0" w:after="283"/>
              <w:jc w:val="left"/>
              <w:rPr/>
            </w:pPr>
            <w:r>
              <w:rPr/>
              <w:t>Accrued vacation and recreation pay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430</w:t>
            </w:r>
          </w:p>
        </w:tc>
        <w:tc>
          <w:tcPr>
            <w:tcW w:w="75" w:type="dxa"/>
            <w:tcBorders/>
            <w:shd w:fill="FFFFFF" w:val="clear"/>
            <w:vAlign w:val="center"/>
          </w:tcPr>
          <w:p>
            <w:pPr>
              <w:pStyle w:val="TableContents"/>
              <w:bidi w:val="0"/>
              <w:spacing w:before="0" w:after="283"/>
              <w:jc w:val="left"/>
              <w:rPr/>
            </w:pPr>
            <w:r>
              <w:rPr/>
              <w:t> </w:t>
            </w:r>
            <w:bookmarkStart w:id="410" w:name="xdx_402_eus-gaap--AccruedLiabilitiesCurr"/>
            <w:bookmarkEnd w:id="410"/>
          </w:p>
        </w:tc>
      </w:tr>
      <w:tr>
        <w:trPr/>
        <w:tc>
          <w:tcPr>
            <w:tcW w:w="354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1,545</w:t>
            </w:r>
          </w:p>
        </w:tc>
        <w:tc>
          <w:tcPr>
            <w:tcW w:w="75" w:type="dxa"/>
            <w:tcBorders/>
            <w:shd w:fill="CCEEFF" w:val="clear"/>
            <w:vAlign w:val="center"/>
          </w:tcPr>
          <w:p>
            <w:pPr>
              <w:pStyle w:val="TableContents"/>
              <w:bidi w:val="0"/>
              <w:spacing w:before="0" w:after="283"/>
              <w:jc w:val="left"/>
              <w:rPr/>
            </w:pPr>
            <w:r>
              <w:rPr/>
              <w:t> </w:t>
            </w:r>
            <w:bookmarkStart w:id="411" w:name="xdx_40C_ecustom--ClinicalTrialAccrual_iI"/>
            <w:bookmarkEnd w:id="411"/>
          </w:p>
        </w:tc>
      </w:tr>
      <w:tr>
        <w:trPr/>
        <w:tc>
          <w:tcPr>
            <w:tcW w:w="3545" w:type="dxa"/>
            <w:tcBorders/>
            <w:shd w:fill="FFFFFF" w:val="clear"/>
            <w:vAlign w:val="center"/>
          </w:tcPr>
          <w:p>
            <w:pPr>
              <w:pStyle w:val="TableContents"/>
              <w:bidi w:val="0"/>
              <w:spacing w:before="0" w:after="283"/>
              <w:jc w:val="left"/>
              <w:rPr/>
            </w:pPr>
            <w:r>
              <w:rPr/>
              <w:t>Clinical trial accrual</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1,155</w:t>
            </w:r>
          </w:p>
        </w:tc>
        <w:tc>
          <w:tcPr>
            <w:tcW w:w="75" w:type="dxa"/>
            <w:tcBorders/>
            <w:shd w:fill="FFFFFF" w:val="clear"/>
            <w:vAlign w:val="center"/>
          </w:tcPr>
          <w:p>
            <w:pPr>
              <w:pStyle w:val="TableContents"/>
              <w:bidi w:val="0"/>
              <w:spacing w:before="0" w:after="283"/>
              <w:jc w:val="left"/>
              <w:rPr/>
            </w:pPr>
            <w:r>
              <w:rPr/>
              <w:t> </w:t>
            </w:r>
            <w:bookmarkStart w:id="412" w:name="xdx_400_ecustom--AccruedOperatingLeaseLi"/>
            <w:bookmarkEnd w:id="412"/>
          </w:p>
        </w:tc>
      </w:tr>
      <w:tr>
        <w:trPr/>
        <w:tc>
          <w:tcPr>
            <w:tcW w:w="3545" w:type="dxa"/>
            <w:tcBorders/>
            <w:shd w:fill="CCEEFF" w:val="clear"/>
            <w:vAlign w:val="center"/>
          </w:tcPr>
          <w:p>
            <w:pPr>
              <w:pStyle w:val="TableContents"/>
              <w:bidi w:val="0"/>
              <w:spacing w:before="0" w:after="283"/>
              <w:jc w:val="left"/>
              <w:rPr/>
            </w:pPr>
            <w:r>
              <w:rPr/>
              <w:t>Current Operating lease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1,066</w:t>
            </w:r>
          </w:p>
        </w:tc>
        <w:tc>
          <w:tcPr>
            <w:tcW w:w="75" w:type="dxa"/>
            <w:tcBorders/>
            <w:shd w:fill="CCEEFF" w:val="clear"/>
            <w:vAlign w:val="center"/>
          </w:tcPr>
          <w:p>
            <w:pPr>
              <w:pStyle w:val="TableContents"/>
              <w:bidi w:val="0"/>
              <w:spacing w:before="0" w:after="283"/>
              <w:jc w:val="left"/>
              <w:rPr/>
            </w:pPr>
            <w:r>
              <w:rPr/>
              <w:t> </w:t>
            </w:r>
            <w:bookmarkStart w:id="413" w:name="xdx_40E_ecustom--CustomerCreditBalances_"/>
            <w:bookmarkEnd w:id="413"/>
          </w:p>
        </w:tc>
      </w:tr>
      <w:tr>
        <w:trPr/>
        <w:tc>
          <w:tcPr>
            <w:tcW w:w="3545" w:type="dxa"/>
            <w:tcBorders/>
            <w:shd w:fill="FFFFFF" w:val="clear"/>
            <w:vAlign w:val="center"/>
          </w:tcPr>
          <w:p>
            <w:pPr>
              <w:pStyle w:val="TableContents"/>
              <w:bidi w:val="0"/>
              <w:spacing w:before="0" w:after="283"/>
              <w:jc w:val="left"/>
              <w:rPr/>
            </w:pPr>
            <w:r>
              <w:rPr/>
              <w:t>Customer credit balances</w:t>
            </w:r>
            <w:bookmarkStart w:id="414" w:name="xdx_F49_zoX3pJoPzVzc"/>
            <w:bookmarkEnd w:id="414"/>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bookmarkStart w:id="415" w:name="xdx_406_eus-gaap--OtherAccruedLiabilitie"/>
            <w:bookmarkEnd w:id="415"/>
          </w:p>
        </w:tc>
      </w:tr>
      <w:tr>
        <w:trPr/>
        <w:tc>
          <w:tcPr>
            <w:tcW w:w="354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334</w:t>
            </w:r>
          </w:p>
        </w:tc>
        <w:tc>
          <w:tcPr>
            <w:tcW w:w="75" w:type="dxa"/>
            <w:tcBorders/>
            <w:shd w:fill="CCEEFF" w:val="clear"/>
            <w:vAlign w:val="center"/>
          </w:tcPr>
          <w:p>
            <w:pPr>
              <w:pStyle w:val="TableContents"/>
              <w:bidi w:val="0"/>
              <w:spacing w:before="0" w:after="283"/>
              <w:jc w:val="left"/>
              <w:rPr/>
            </w:pPr>
            <w:r>
              <w:rPr/>
              <w:t> </w:t>
            </w:r>
            <w:bookmarkStart w:id="416" w:name="xdx_404_eus-gaap--AccountsPayableOtherCu"/>
            <w:bookmarkEnd w:id="416"/>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Accruals - Other</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7,992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9,457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23"/>
        <w:gridCol w:w="10042"/>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417" w:name="xdx_F0D_zeynAF6vk4yk"/>
            <w:bookmarkEnd w:id="417"/>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rFonts w:ascii="Times New Roman;Times;Serif" w:hAnsi="Times New Roman;Times;Serif"/>
                <w:sz w:val="20"/>
              </w:rPr>
            </w:pPr>
            <w:bookmarkStart w:id="418" w:name="xdx_F17_zjVH10hrnMad"/>
            <w:bookmarkEnd w:id="418"/>
            <w:r>
              <w:rPr>
                <w:rFonts w:ascii="Times New Roman;Times;Serif" w:hAnsi="Times New Roman;Times;Serif"/>
                <w:sz w:val="20"/>
              </w:rPr>
              <w:t>Customer credit balances primarily represent credits issued to customers in connection with the voluntary recall of CGuard Prime products (see note 1a).</w:t>
            </w:r>
          </w:p>
        </w:tc>
      </w:tr>
    </w:tbl>
    <w:p>
      <w:pPr>
        <w:pStyle w:val="TextBody"/>
        <w:bidi w:val="0"/>
        <w:spacing w:before="0" w:after="0"/>
        <w:ind w:left="1080" w:right="0" w:hanging="0"/>
        <w:jc w:val="both"/>
        <w:rPr>
          <w:caps w:val="false"/>
          <w:smallCaps w:val="false"/>
        </w:rPr>
      </w:pPr>
      <w:bookmarkStart w:id="419" w:name="xdx_8AB_zU5sVQre5YZb"/>
      <w:bookmarkEnd w:id="41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0" w:name="xdx_80C_eus-gaap--RevenueFromContractWit"/>
      <w:bookmarkEnd w:id="420"/>
      <w:r>
        <w:rPr>
          <w:rFonts w:ascii="Times New Roman;Times;Serif" w:hAnsi="Times New Roman;Times;Serif"/>
          <w:b/>
          <w:i w:val="false"/>
          <w:caps w:val="false"/>
          <w:smallCaps w:val="false"/>
          <w:sz w:val="20"/>
        </w:rPr>
        <w:t xml:space="preserve">NOTE 12 - </w:t>
      </w:r>
      <w:bookmarkStart w:id="421" w:name="xdx_827_zL3tDAdeQTPg"/>
      <w:bookmarkEnd w:id="421"/>
      <w:r>
        <w:rPr>
          <w:rFonts w:ascii="Times New Roman;Times;Serif" w:hAnsi="Times New Roman;Times;Serif"/>
          <w:b/>
          <w:i w:val="false"/>
          <w:caps w:val="false"/>
          <w:smallCaps w:val="false"/>
          <w:sz w:val="20"/>
        </w:rPr>
        <w:t>DISAGGREGATED REVENUE AND ENTITY WIDE DISCLOSURES:</w:t>
      </w:r>
      <w:r>
        <w:rPr>
          <w:rFonts w:ascii="Times New Roman;Times;Serif" w:hAnsi="Times New Roman;Times;Serif"/>
          <w:b w:val="false"/>
          <w:i w:val="false"/>
          <w:caps w:val="false"/>
          <w:smallCaps w:val="false"/>
          <w:sz w:val="20"/>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422" w:name="xdx_89B_ecustom--RevenueFromExternalCust"/>
      <w:bookmarkEnd w:id="422"/>
      <w:r>
        <w:rPr>
          <w:rFonts w:ascii="Times New Roman;Times;Serif" w:hAnsi="Times New Roman;Times;Serif"/>
          <w:b w:val="false"/>
          <w:i w:val="false"/>
          <w:caps w:val="false"/>
          <w:smallCaps w:val="false"/>
          <w:sz w:val="20"/>
        </w:rPr>
        <w:t>Revenues are attributed to geographic areas based on the location of the customers. The following is a summary of revenues: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423" w:name="xdx_8BE_ztkxrFXaAf8e"/>
      <w:bookmarkEnd w:id="423"/>
      <w:r>
        <w:rPr>
          <w:rFonts w:ascii="Times New Roman;Times;Serif" w:hAnsi="Times New Roman;Times;Serif"/>
          <w:b w:val="false"/>
          <w:i w:val="false"/>
          <w:caps w:val="false"/>
          <w:smallCaps w:val="false"/>
          <w:sz w:val="20"/>
        </w:rPr>
        <w:t>SCHEDULE OF REVENUES ATTRIBUTED TO GEOGRAPHIC AREAS</w:t>
      </w:r>
    </w:p>
    <w:tbl>
      <w:tblPr>
        <w:tblW w:w="5292" w:type="dxa"/>
        <w:jc w:val="left"/>
        <w:tblInd w:w="0" w:type="dxa"/>
        <w:tblLayout w:type="fixed"/>
        <w:tblCellMar>
          <w:top w:w="0" w:type="dxa"/>
          <w:left w:w="0" w:type="dxa"/>
          <w:bottom w:w="0" w:type="dxa"/>
          <w:right w:w="0" w:type="dxa"/>
        </w:tblCellMar>
      </w:tblPr>
      <w:tblGrid>
        <w:gridCol w:w="980"/>
        <w:gridCol w:w="60"/>
        <w:gridCol w:w="196"/>
        <w:gridCol w:w="785"/>
        <w:gridCol w:w="133"/>
        <w:gridCol w:w="84"/>
        <w:gridCol w:w="196"/>
        <w:gridCol w:w="785"/>
        <w:gridCol w:w="60"/>
        <w:gridCol w:w="60"/>
        <w:gridCol w:w="173"/>
        <w:gridCol w:w="692"/>
        <w:gridCol w:w="74"/>
        <w:gridCol w:w="74"/>
        <w:gridCol w:w="173"/>
        <w:gridCol w:w="692"/>
        <w:gridCol w:w="75"/>
      </w:tblGrid>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4" w:name="xdx_49B_20260401__20260630_zDzwGeTQUdT8"/>
            <w:bookmarkEnd w:id="424"/>
          </w:p>
        </w:tc>
        <w:tc>
          <w:tcPr>
            <w:tcW w:w="9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3"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bookmarkStart w:id="425" w:name="xdx_493_20250401__20250630_z3VzwsiEdsj4"/>
            <w:bookmarkEnd w:id="425"/>
          </w:p>
        </w:tc>
        <w:tc>
          <w:tcPr>
            <w:tcW w:w="9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6" w:name="xdx_495_20260101__20260630_zHj2WLqtIBug"/>
            <w:bookmarkEnd w:id="426"/>
          </w:p>
        </w:tc>
        <w:tc>
          <w:tcPr>
            <w:tcW w:w="8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bookmarkStart w:id="427" w:name="xdx_498_20250101__20250630_zzXw0ePO3wY4"/>
            <w:bookmarkEnd w:id="427"/>
          </w:p>
        </w:tc>
        <w:tc>
          <w:tcPr>
            <w:tcW w:w="8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3"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7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gridSpan w:val="2"/>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81"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428" w:name="xdx_403_eus-gaap--RevenueFromContractWit"/>
            <w:bookmarkEnd w:id="428"/>
          </w:p>
        </w:tc>
      </w:tr>
      <w:tr>
        <w:trPr/>
        <w:tc>
          <w:tcPr>
            <w:tcW w:w="980" w:type="dxa"/>
            <w:tcBorders/>
            <w:shd w:fill="CCEEFF" w:val="clear"/>
            <w:vAlign w:val="center"/>
          </w:tcPr>
          <w:p>
            <w:pPr>
              <w:pStyle w:val="TableContents"/>
              <w:bidi w:val="0"/>
              <w:spacing w:before="0" w:after="283"/>
              <w:jc w:val="left"/>
              <w:rPr/>
            </w:pPr>
            <w:r>
              <w:rPr/>
              <w:t>Germany</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265</w:t>
            </w:r>
          </w:p>
        </w:tc>
        <w:tc>
          <w:tcPr>
            <w:tcW w:w="1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92" w:type="dxa"/>
            <w:tcBorders/>
            <w:shd w:fill="CCEEFF" w:val="clear"/>
            <w:vAlign w:val="center"/>
          </w:tcPr>
          <w:p>
            <w:pPr>
              <w:pStyle w:val="TableContents"/>
              <w:bidi w:val="0"/>
              <w:spacing w:before="0" w:after="283"/>
              <w:jc w:val="right"/>
              <w:rPr/>
            </w:pPr>
            <w:r>
              <w:rPr/>
              <w:t>520</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92" w:type="dxa"/>
            <w:tcBorders/>
            <w:shd w:fill="CCEEFF" w:val="clear"/>
            <w:vAlign w:val="center"/>
          </w:tcPr>
          <w:p>
            <w:pPr>
              <w:pStyle w:val="TableContents"/>
              <w:bidi w:val="0"/>
              <w:spacing w:before="0" w:after="283"/>
              <w:jc w:val="right"/>
              <w:rPr/>
            </w:pPr>
            <w:r>
              <w:rPr/>
              <w:t>602</w:t>
            </w:r>
          </w:p>
        </w:tc>
        <w:tc>
          <w:tcPr>
            <w:tcW w:w="75" w:type="dxa"/>
            <w:tcBorders/>
            <w:shd w:fill="CCEEFF" w:val="clear"/>
            <w:vAlign w:val="center"/>
          </w:tcPr>
          <w:p>
            <w:pPr>
              <w:pStyle w:val="TableContents"/>
              <w:bidi w:val="0"/>
              <w:spacing w:before="0" w:after="283"/>
              <w:jc w:val="left"/>
              <w:rPr/>
            </w:pPr>
            <w:r>
              <w:rPr/>
              <w:t> </w:t>
            </w:r>
            <w:bookmarkStart w:id="429" w:name="xdx_408_eus-gaap--RevenueFromContractWit"/>
            <w:bookmarkEnd w:id="429"/>
          </w:p>
        </w:tc>
      </w:tr>
      <w:tr>
        <w:trPr/>
        <w:tc>
          <w:tcPr>
            <w:tcW w:w="980" w:type="dxa"/>
            <w:tcBorders/>
            <w:shd w:fill="FFFFFF" w:val="clear"/>
            <w:vAlign w:val="center"/>
          </w:tcPr>
          <w:p>
            <w:pPr>
              <w:pStyle w:val="TableContents"/>
              <w:bidi w:val="0"/>
              <w:spacing w:before="0" w:after="283"/>
              <w:jc w:val="left"/>
              <w:rPr/>
            </w:pPr>
            <w:r>
              <w:rPr/>
              <w:t>Italy</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304</w:t>
            </w:r>
          </w:p>
        </w:tc>
        <w:tc>
          <w:tcPr>
            <w:tcW w:w="13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658</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586</w:t>
            </w:r>
          </w:p>
        </w:tc>
        <w:tc>
          <w:tcPr>
            <w:tcW w:w="75" w:type="dxa"/>
            <w:tcBorders/>
            <w:shd w:fill="FFFFFF" w:val="clear"/>
            <w:vAlign w:val="center"/>
          </w:tcPr>
          <w:p>
            <w:pPr>
              <w:pStyle w:val="TableContents"/>
              <w:bidi w:val="0"/>
              <w:spacing w:before="0" w:after="283"/>
              <w:jc w:val="left"/>
              <w:rPr/>
            </w:pPr>
            <w:r>
              <w:rPr/>
              <w:t> </w:t>
            </w:r>
            <w:bookmarkStart w:id="430" w:name="xdx_40D_eus-gaap--RevenueFromContractWit"/>
            <w:bookmarkEnd w:id="430"/>
          </w:p>
        </w:tc>
      </w:tr>
      <w:tr>
        <w:trPr/>
        <w:tc>
          <w:tcPr>
            <w:tcW w:w="980" w:type="dxa"/>
            <w:tcBorders/>
            <w:shd w:fill="CCEEFF" w:val="clear"/>
            <w:vAlign w:val="center"/>
          </w:tcPr>
          <w:p>
            <w:pPr>
              <w:pStyle w:val="TableContents"/>
              <w:bidi w:val="0"/>
              <w:spacing w:before="0" w:after="283"/>
              <w:jc w:val="left"/>
              <w:rPr/>
            </w:pPr>
            <w:r>
              <w:rPr/>
              <w:t>Poland</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262</w:t>
            </w:r>
          </w:p>
        </w:tc>
        <w:tc>
          <w:tcPr>
            <w:tcW w:w="1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563</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474</w:t>
            </w:r>
          </w:p>
        </w:tc>
        <w:tc>
          <w:tcPr>
            <w:tcW w:w="75" w:type="dxa"/>
            <w:tcBorders/>
            <w:shd w:fill="CCEEFF" w:val="clear"/>
            <w:vAlign w:val="center"/>
          </w:tcPr>
          <w:p>
            <w:pPr>
              <w:pStyle w:val="TableContents"/>
              <w:bidi w:val="0"/>
              <w:spacing w:before="0" w:after="283"/>
              <w:jc w:val="left"/>
              <w:rPr/>
            </w:pPr>
            <w:r>
              <w:rPr/>
              <w:t> </w:t>
            </w:r>
            <w:bookmarkStart w:id="431" w:name="xdx_401_eus-gaap--RevenueFromContractWit"/>
            <w:bookmarkEnd w:id="431"/>
          </w:p>
        </w:tc>
      </w:tr>
      <w:tr>
        <w:trPr/>
        <w:tc>
          <w:tcPr>
            <w:tcW w:w="980" w:type="dxa"/>
            <w:tcBorders/>
            <w:shd w:fill="FFFFFF" w:val="clear"/>
            <w:vAlign w:val="center"/>
          </w:tcPr>
          <w:p>
            <w:pPr>
              <w:pStyle w:val="TableContents"/>
              <w:bidi w:val="0"/>
              <w:spacing w:before="0" w:after="283"/>
              <w:jc w:val="left"/>
              <w:rPr/>
            </w:pPr>
            <w:r>
              <w:rPr/>
              <w:t>Argentina</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180</w:t>
            </w:r>
          </w:p>
        </w:tc>
        <w:tc>
          <w:tcPr>
            <w:tcW w:w="13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347</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180</w:t>
            </w:r>
          </w:p>
        </w:tc>
        <w:tc>
          <w:tcPr>
            <w:tcW w:w="75" w:type="dxa"/>
            <w:tcBorders/>
            <w:shd w:fill="FFFFFF" w:val="clear"/>
            <w:vAlign w:val="center"/>
          </w:tcPr>
          <w:p>
            <w:pPr>
              <w:pStyle w:val="TableContents"/>
              <w:bidi w:val="0"/>
              <w:spacing w:before="0" w:after="283"/>
              <w:jc w:val="left"/>
              <w:rPr/>
            </w:pPr>
            <w:r>
              <w:rPr/>
              <w:t> </w:t>
            </w:r>
            <w:bookmarkStart w:id="432" w:name="xdx_400_eus-gaap--RevenueFromContractWit"/>
            <w:bookmarkEnd w:id="432"/>
          </w:p>
        </w:tc>
      </w:tr>
      <w:tr>
        <w:trPr/>
        <w:tc>
          <w:tcPr>
            <w:tcW w:w="980" w:type="dxa"/>
            <w:tcBorders/>
            <w:shd w:fill="CCEEFF" w:val="clear"/>
            <w:vAlign w:val="center"/>
          </w:tcPr>
          <w:p>
            <w:pPr>
              <w:pStyle w:val="TableContents"/>
              <w:bidi w:val="0"/>
              <w:spacing w:before="0" w:after="283"/>
              <w:jc w:val="left"/>
              <w:rPr/>
            </w:pPr>
            <w:r>
              <w:rPr/>
              <w:t>USA</w:t>
            </w:r>
            <w:bookmarkStart w:id="433" w:name="xdx_F4A_z5Bz2ggwtiHi"/>
            <w:bookmarkEnd w:id="433"/>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(351</w:t>
            </w:r>
          </w:p>
        </w:tc>
        <w:tc>
          <w:tcPr>
            <w:tcW w:w="133"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827</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54</w:t>
            </w:r>
          </w:p>
        </w:tc>
        <w:tc>
          <w:tcPr>
            <w:tcW w:w="75" w:type="dxa"/>
            <w:tcBorders/>
            <w:shd w:fill="CCEEFF" w:val="clear"/>
            <w:vAlign w:val="center"/>
          </w:tcPr>
          <w:p>
            <w:pPr>
              <w:pStyle w:val="TableContents"/>
              <w:bidi w:val="0"/>
              <w:spacing w:before="0" w:after="283"/>
              <w:jc w:val="left"/>
              <w:rPr/>
            </w:pPr>
            <w:r>
              <w:rPr/>
              <w:t> </w:t>
            </w:r>
            <w:bookmarkStart w:id="434" w:name="xdx_403_eus-gaap--RevenueFromContractWit"/>
            <w:bookmarkEnd w:id="434"/>
          </w:p>
        </w:tc>
      </w:tr>
      <w:tr>
        <w:trPr/>
        <w:tc>
          <w:tcPr>
            <w:tcW w:w="980" w:type="dxa"/>
            <w:tcBorders/>
            <w:shd w:fill="FFFFFF" w:val="clear"/>
            <w:vAlign w:val="center"/>
          </w:tcPr>
          <w:p>
            <w:pPr>
              <w:pStyle w:val="TableContents"/>
              <w:bidi w:val="0"/>
              <w:spacing w:before="0" w:after="283"/>
              <w:jc w:val="left"/>
              <w:rPr/>
            </w:pPr>
            <w:r>
              <w:rPr/>
              <w:t>Other</w:t>
            </w:r>
            <w:bookmarkStart w:id="435" w:name="xdx_F4D_zbRjISn0QzWa"/>
            <w:bookmarkEnd w:id="435"/>
            <w:r>
              <w:rPr/>
              <w: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1,111</w:t>
            </w:r>
          </w:p>
        </w:tc>
        <w:tc>
          <w:tcPr>
            <w:tcW w:w="13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2" w:type="dxa"/>
            <w:tcBorders>
              <w:bottom w:val="single" w:sz="8" w:space="0" w:color="000000"/>
            </w:tcBorders>
            <w:shd w:fill="FFFFFF" w:val="clear"/>
            <w:tcMar>
              <w:bottom w:w="28" w:type="dxa"/>
            </w:tcMar>
            <w:vAlign w:val="center"/>
          </w:tcPr>
          <w:p>
            <w:pPr>
              <w:pStyle w:val="TableContents"/>
              <w:bidi w:val="0"/>
              <w:spacing w:before="0" w:after="283"/>
              <w:jc w:val="right"/>
              <w:rPr/>
            </w:pPr>
            <w:r>
              <w:rPr/>
              <w:t>2,254</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2" w:type="dxa"/>
            <w:tcBorders>
              <w:bottom w:val="single" w:sz="8" w:space="0" w:color="000000"/>
            </w:tcBorders>
            <w:shd w:fill="FFFFFF" w:val="clear"/>
            <w:tcMar>
              <w:bottom w:w="28" w:type="dxa"/>
            </w:tcMar>
            <w:vAlign w:val="center"/>
          </w:tcPr>
          <w:p>
            <w:pPr>
              <w:pStyle w:val="TableContents"/>
              <w:bidi w:val="0"/>
              <w:spacing w:before="0" w:after="283"/>
              <w:jc w:val="right"/>
              <w:rPr/>
            </w:pPr>
            <w:r>
              <w:rPr/>
              <w:t>1,411</w:t>
            </w:r>
          </w:p>
        </w:tc>
        <w:tc>
          <w:tcPr>
            <w:tcW w:w="75" w:type="dxa"/>
            <w:tcBorders/>
            <w:shd w:fill="FFFFFF" w:val="clear"/>
            <w:vAlign w:val="center"/>
          </w:tcPr>
          <w:p>
            <w:pPr>
              <w:pStyle w:val="TableContents"/>
              <w:bidi w:val="0"/>
              <w:spacing w:before="0" w:after="283"/>
              <w:jc w:val="left"/>
              <w:rPr/>
            </w:pPr>
            <w:r>
              <w:rPr/>
              <w:t> </w:t>
            </w:r>
            <w:bookmarkStart w:id="436" w:name="xdx_40F_eus-gaap--RevenueFromContractWit"/>
            <w:bookmarkEnd w:id="436"/>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1,771</w:t>
            </w:r>
          </w:p>
        </w:tc>
        <w:tc>
          <w:tcPr>
            <w:tcW w:w="1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1,778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jc w:val="right"/>
              <w:rPr/>
            </w:pPr>
            <w:r>
              <w:rPr/>
              <w:t>5,169</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jc w:val="right"/>
              <w:rPr/>
            </w:pPr>
            <w:r>
              <w:rPr/>
              <w:t>3,307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140"/>
        <w:gridCol w:w="23"/>
        <w:gridCol w:w="7700"/>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437" w:name="xdx_F08_zye0OAFtxIJh"/>
            <w:bookmarkEnd w:id="437"/>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7700" w:type="dxa"/>
            <w:tcBorders/>
            <w:vAlign w:val="center"/>
          </w:tcPr>
          <w:p>
            <w:pPr>
              <w:pStyle w:val="TableContents"/>
              <w:bidi w:val="0"/>
              <w:spacing w:before="0" w:after="283"/>
              <w:jc w:val="both"/>
              <w:rPr>
                <w:rFonts w:ascii="Times New Roman;Times;Serif" w:hAnsi="Times New Roman;Times;Serif"/>
                <w:sz w:val="20"/>
              </w:rPr>
            </w:pPr>
            <w:bookmarkStart w:id="438" w:name="xdx_F11_zSGuoIhjrNc4"/>
            <w:bookmarkEnd w:id="438"/>
            <w:r>
              <w:rPr>
                <w:rFonts w:ascii="Times New Roman;Times;Serif" w:hAnsi="Times New Roman;Times;Serif"/>
                <w:sz w:val="20"/>
              </w:rPr>
              <w:t>Other countries do not exceed 10% in the six and three months ended June 30, 2026 and 2025.</w:t>
            </w:r>
          </w:p>
        </w:tc>
      </w:tr>
    </w:tbl>
    <w:tbl>
      <w:tblPr>
        <w:tblW w:w="10205" w:type="dxa"/>
        <w:jc w:val="left"/>
        <w:tblInd w:w="0" w:type="dxa"/>
        <w:tblLayout w:type="fixed"/>
        <w:tblCellMar>
          <w:top w:w="0" w:type="dxa"/>
          <w:left w:w="0" w:type="dxa"/>
          <w:bottom w:w="0" w:type="dxa"/>
          <w:right w:w="0" w:type="dxa"/>
        </w:tblCellMar>
      </w:tblPr>
      <w:tblGrid>
        <w:gridCol w:w="182"/>
        <w:gridCol w:w="23"/>
        <w:gridCol w:w="10000"/>
      </w:tblGrid>
      <w:tr>
        <w:trPr/>
        <w:tc>
          <w:tcPr>
            <w:tcW w:w="182" w:type="dxa"/>
            <w:tcBorders/>
            <w:vAlign w:val="center"/>
          </w:tcPr>
          <w:p>
            <w:pPr>
              <w:pStyle w:val="TableContents"/>
              <w:bidi w:val="0"/>
              <w:spacing w:before="0" w:after="283"/>
              <w:jc w:val="right"/>
              <w:rPr>
                <w:rFonts w:ascii="Times New Roman;Times;Serif" w:hAnsi="Times New Roman;Times;Serif"/>
                <w:sz w:val="20"/>
              </w:rPr>
            </w:pPr>
            <w:bookmarkStart w:id="439" w:name="xdx_F0E_zKnHNQSajs0l"/>
            <w:bookmarkEnd w:id="439"/>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10000" w:type="dxa"/>
            <w:tcBorders/>
            <w:vAlign w:val="center"/>
          </w:tcPr>
          <w:p>
            <w:pPr>
              <w:pStyle w:val="TableContents"/>
              <w:bidi w:val="0"/>
              <w:spacing w:before="0" w:after="283"/>
              <w:jc w:val="both"/>
              <w:rPr>
                <w:rFonts w:ascii="Times New Roman;Times;Serif" w:hAnsi="Times New Roman;Times;Serif"/>
                <w:sz w:val="20"/>
              </w:rPr>
            </w:pPr>
            <w:bookmarkStart w:id="440" w:name="xdx_F11_zzoXvres8U11"/>
            <w:bookmarkEnd w:id="440"/>
            <w:r>
              <w:rPr>
                <w:rFonts w:ascii="Times New Roman;Times;Serif" w:hAnsi="Times New Roman;Times;Serif"/>
                <w:sz w:val="20"/>
              </w:rPr>
              <w:t>Approximately $</w:t>
            </w:r>
            <w:bookmarkStart w:id="441" w:name="xdx_904_ecustom--CreditIssuedDuringPerio"/>
            <w:bookmarkStart w:id="442" w:name="xdx_90C_ecustom--CreditIssuedDuringPerio"/>
            <w:bookmarkEnd w:id="441"/>
            <w:bookmarkEnd w:id="442"/>
            <w:r>
              <w:rPr>
                <w:rFonts w:ascii="Times New Roman;Times;Serif" w:hAnsi="Times New Roman;Times;Serif"/>
                <w:sz w:val="20"/>
              </w:rPr>
              <w:t>734 thousand of credits issued in connection with the voluntary recall were deducted from U.S revenues for the three and six months ended June 30, 2026, which resulted in negative net revenues in the United States for the three months ended June 30 (see note 1a).</w:t>
            </w:r>
          </w:p>
        </w:tc>
      </w:tr>
    </w:tbl>
    <w:p>
      <w:pPr>
        <w:pStyle w:val="TextBody"/>
        <w:bidi w:val="0"/>
        <w:spacing w:before="0" w:after="0"/>
        <w:ind w:left="1080" w:right="0" w:hanging="0"/>
        <w:jc w:val="both"/>
        <w:rPr>
          <w:caps w:val="false"/>
          <w:smallCaps w:val="false"/>
        </w:rPr>
      </w:pPr>
      <w:bookmarkStart w:id="443" w:name="xdx_8A4_zxO3FPQIEXRg"/>
      <w:bookmarkEnd w:id="443"/>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444" w:name="xdx_89F_eus-gaap--RevenueFromExternalCus"/>
      <w:bookmarkEnd w:id="444"/>
      <w:r>
        <w:rPr>
          <w:rFonts w:ascii="Times New Roman;Times;Serif" w:hAnsi="Times New Roman;Times;Serif"/>
          <w:b w:val="false"/>
          <w:i w:val="false"/>
          <w:caps w:val="false"/>
          <w:smallCaps w:val="false"/>
          <w:sz w:val="20"/>
        </w:rPr>
        <w:t>By principal customers (part of revenues):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45" w:name="xdx_8B5_zwy8nlBAPaWd"/>
      <w:bookmarkEnd w:id="445"/>
      <w:r>
        <w:rPr>
          <w:rFonts w:ascii="Times New Roman;Times;Serif" w:hAnsi="Times New Roman;Times;Serif"/>
          <w:b w:val="false"/>
          <w:i w:val="false"/>
          <w:caps w:val="false"/>
          <w:smallCaps w:val="false"/>
          <w:sz w:val="20"/>
        </w:rPr>
        <w:t>SCHEDULE OF REVENUES ATTRIBUTED TO GEOGRAPHIC AREAS BY PRINCIPAL CUSTOMERS</w:t>
      </w:r>
    </w:p>
    <w:tbl>
      <w:tblPr>
        <w:tblW w:w="5811" w:type="dxa"/>
        <w:jc w:val="left"/>
        <w:tblInd w:w="0" w:type="dxa"/>
        <w:tblLayout w:type="fixed"/>
        <w:tblCellMar>
          <w:top w:w="0" w:type="dxa"/>
          <w:left w:w="0" w:type="dxa"/>
          <w:bottom w:w="0" w:type="dxa"/>
          <w:right w:w="0" w:type="dxa"/>
        </w:tblCellMar>
      </w:tblPr>
      <w:tblGrid>
        <w:gridCol w:w="1190"/>
        <w:gridCol w:w="60"/>
        <w:gridCol w:w="159"/>
        <w:gridCol w:w="695"/>
        <w:gridCol w:w="367"/>
        <w:gridCol w:w="102"/>
        <w:gridCol w:w="159"/>
        <w:gridCol w:w="695"/>
        <w:gridCol w:w="215"/>
        <w:gridCol w:w="60"/>
        <w:gridCol w:w="137"/>
        <w:gridCol w:w="600"/>
        <w:gridCol w:w="317"/>
        <w:gridCol w:w="88"/>
        <w:gridCol w:w="137"/>
        <w:gridCol w:w="600"/>
        <w:gridCol w:w="23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6" w:name="xdx_49B_20260401__20260630_zdRnznSEEX1k"/>
            <w:bookmarkEnd w:id="446"/>
          </w:p>
        </w:tc>
        <w:tc>
          <w:tcPr>
            <w:tcW w:w="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6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bookmarkStart w:id="447" w:name="xdx_493_20250401__20250630_zK7SIzgxRcqc"/>
            <w:bookmarkEnd w:id="447"/>
          </w:p>
        </w:tc>
        <w:tc>
          <w:tcPr>
            <w:tcW w:w="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8" w:name="xdx_495_20260101__20260630_zXGjL9YM20P3"/>
            <w:bookmarkEnd w:id="448"/>
          </w:p>
        </w:tc>
        <w:tc>
          <w:tcPr>
            <w:tcW w:w="7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bookmarkStart w:id="449" w:name="xdx_498_20250101__20250630_zQ7IZsbpYMuk"/>
            <w:bookmarkEnd w:id="449"/>
          </w:p>
        </w:tc>
        <w:tc>
          <w:tcPr>
            <w:tcW w:w="7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6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7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bookmarkStart w:id="450" w:name="xdx_402_eus-gaap--ConcentrationRiskPerce"/>
            <w:bookmarkEnd w:id="450"/>
          </w:p>
        </w:tc>
      </w:tr>
      <w:tr>
        <w:trPr/>
        <w:tc>
          <w:tcPr>
            <w:tcW w:w="1190"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15</w:t>
            </w:r>
          </w:p>
        </w:tc>
        <w:tc>
          <w:tcPr>
            <w:tcW w:w="367"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10</w:t>
            </w:r>
          </w:p>
        </w:tc>
        <w:tc>
          <w:tcPr>
            <w:tcW w:w="3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18</w:t>
            </w:r>
          </w:p>
        </w:tc>
        <w:tc>
          <w:tcPr>
            <w:tcW w:w="230" w:type="dxa"/>
            <w:tcBorders/>
            <w:shd w:fill="CCEEFF" w:val="clear"/>
            <w:vAlign w:val="center"/>
          </w:tcPr>
          <w:p>
            <w:pPr>
              <w:pStyle w:val="TableContents"/>
              <w:bidi w:val="0"/>
              <w:spacing w:before="0" w:after="283"/>
              <w:jc w:val="left"/>
              <w:rPr/>
            </w:pPr>
            <w:r>
              <w:rPr/>
              <w:t>%</w:t>
            </w:r>
            <w:bookmarkStart w:id="451" w:name="xdx_404_eus-gaap--ConcentrationRiskPerce"/>
            <w:bookmarkEnd w:id="451"/>
          </w:p>
        </w:tc>
      </w:tr>
      <w:tr>
        <w:trPr/>
        <w:tc>
          <w:tcPr>
            <w:tcW w:w="1190"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13</w:t>
            </w:r>
          </w:p>
        </w:tc>
        <w:tc>
          <w:tcPr>
            <w:tcW w:w="367"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9</w:t>
            </w:r>
          </w:p>
        </w:tc>
        <w:tc>
          <w:tcPr>
            <w:tcW w:w="31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12</w:t>
            </w:r>
          </w:p>
        </w:tc>
        <w:tc>
          <w:tcPr>
            <w:tcW w:w="230" w:type="dxa"/>
            <w:tcBorders/>
            <w:shd w:fill="FFFFFF" w:val="clear"/>
            <w:vAlign w:val="center"/>
          </w:tcPr>
          <w:p>
            <w:pPr>
              <w:pStyle w:val="TableContents"/>
              <w:bidi w:val="0"/>
              <w:spacing w:before="0" w:after="283"/>
              <w:jc w:val="left"/>
              <w:rPr/>
            </w:pPr>
            <w:r>
              <w:rPr/>
              <w:t>%</w:t>
            </w:r>
            <w:bookmarkStart w:id="452" w:name="xdx_40A_eus-gaap--ConcentrationRiskPerce"/>
            <w:bookmarkEnd w:id="452"/>
          </w:p>
        </w:tc>
      </w:tr>
      <w:tr>
        <w:trPr/>
        <w:tc>
          <w:tcPr>
            <w:tcW w:w="1190"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10</w:t>
            </w:r>
          </w:p>
        </w:tc>
        <w:tc>
          <w:tcPr>
            <w:tcW w:w="367"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7</w:t>
            </w:r>
          </w:p>
        </w:tc>
        <w:tc>
          <w:tcPr>
            <w:tcW w:w="3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bookmarkStart w:id="453" w:name="xdx_8A7_zSge6dlDRkvi"/>
      <w:bookmarkEnd w:id="45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54" w:name="xdx_80B_eus-gaap--SegmentReportingDisclo"/>
      <w:bookmarkEnd w:id="454"/>
      <w:r>
        <w:rPr>
          <w:rFonts w:ascii="Times New Roman;Times;Serif" w:hAnsi="Times New Roman;Times;Serif"/>
          <w:b/>
          <w:i w:val="false"/>
          <w:caps w:val="false"/>
          <w:smallCaps w:val="false"/>
          <w:sz w:val="20"/>
        </w:rPr>
        <w:t xml:space="preserve">NOTE 13 </w:t>
      </w:r>
      <w:r>
        <w:rPr>
          <w:rFonts w:ascii="Times New Roman;Times;Serif" w:hAnsi="Times New Roman;Times;Serif"/>
          <w:b w:val="false"/>
          <w:i w:val="false"/>
          <w:caps w:val="false"/>
          <w:smallCaps w:val="false"/>
          <w:sz w:val="20"/>
        </w:rPr>
        <w:t xml:space="preserve">- </w:t>
      </w:r>
      <w:bookmarkStart w:id="455" w:name="xdx_82F_zpdY3QUDE4Z4"/>
      <w:bookmarkEnd w:id="455"/>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The Company has </w:t>
      </w:r>
      <w:bookmarkStart w:id="456" w:name="xdx_90D_eus-gaap--NumberOfReportableSegm"/>
      <w:bookmarkStart w:id="457" w:name="xdx_907_eus-gaap--NumberOfOperatingSegme"/>
      <w:bookmarkEnd w:id="456"/>
      <w:bookmarkEnd w:id="457"/>
      <w:r>
        <w:rPr>
          <w:rFonts w:ascii="Times New Roman;Times;Serif" w:hAnsi="Times New Roman;Times;Serif"/>
          <w:b w:val="false"/>
          <w:i w:val="false"/>
          <w:caps w:val="false"/>
          <w:smallCaps w:val="false"/>
          <w:sz w:val="20"/>
        </w:rPr>
        <w:t>one operating and reporting segment, that develops, manufactures and markets products for the treatment of carotid artery disease and other vascular disease, including the Company’s proprietary CGuard™ stent platform. The Company’s Chief Operating Decision Maker (“CODM”), who is the chief executive officer, evaluates the Company’s performance based on its internal reporting which is consistent with the presentation in the Company’s consolidated financial statements. Accordingly, our CODM uses consolidated net loss to measure segment profit or loss, allocate resources, and assess performance.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458" w:name="xdx_89D_eus-gaap--ScheduleOfRevenueByMaj"/>
      <w:bookmarkEnd w:id="458"/>
      <w:r>
        <w:rPr>
          <w:rFonts w:ascii="Times New Roman;Times;Serif" w:hAnsi="Times New Roman;Times;Serif"/>
          <w:b w:val="false"/>
          <w:i w:val="false"/>
          <w:caps w:val="false"/>
          <w:smallCaps w:val="false"/>
          <w:sz w:val="20"/>
        </w:rPr>
        <w:t>The CODM examines, within each operational function, the employee salaries including the bonus and share based compensation. In addition, the CODM examines the clinical trials expenses within the research and development operations.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459" w:name="xdx_8B0_zZ5KcB1oGL09"/>
      <w:bookmarkEnd w:id="459"/>
      <w:r>
        <w:rPr>
          <w:rFonts w:ascii="Times New Roman;Times;Serif" w:hAnsi="Times New Roman;Times;Serif"/>
          <w:b w:val="false"/>
          <w:i w:val="false"/>
          <w:caps w:val="false"/>
          <w:smallCaps w:val="false"/>
          <w:sz w:val="20"/>
        </w:rPr>
        <w:t>SCHEDULE OF SEGMENT REVENUE</w:t>
      </w:r>
    </w:p>
    <w:tbl>
      <w:tblPr>
        <w:tblW w:w="7896" w:type="dxa"/>
        <w:jc w:val="left"/>
        <w:tblInd w:w="0" w:type="dxa"/>
        <w:tblLayout w:type="fixed"/>
        <w:tblCellMar>
          <w:top w:w="0" w:type="dxa"/>
          <w:left w:w="0" w:type="dxa"/>
          <w:bottom w:w="0" w:type="dxa"/>
          <w:right w:w="0" w:type="dxa"/>
        </w:tblCellMar>
      </w:tblPr>
      <w:tblGrid>
        <w:gridCol w:w="3575"/>
        <w:gridCol w:w="60"/>
        <w:gridCol w:w="73"/>
        <w:gridCol w:w="922"/>
        <w:gridCol w:w="116"/>
        <w:gridCol w:w="73"/>
        <w:gridCol w:w="73"/>
        <w:gridCol w:w="922"/>
        <w:gridCol w:w="95"/>
        <w:gridCol w:w="60"/>
        <w:gridCol w:w="61"/>
        <w:gridCol w:w="769"/>
        <w:gridCol w:w="96"/>
        <w:gridCol w:w="61"/>
        <w:gridCol w:w="61"/>
        <w:gridCol w:w="769"/>
        <w:gridCol w:w="110"/>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0" w:name="xdx_493_20260401__20260630_zO2VolFB4F28"/>
            <w:bookmarkEnd w:id="460"/>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bookmarkStart w:id="461" w:name="xdx_49C_20250401__20250630_zomuZUGY3F25"/>
            <w:bookmarkEnd w:id="461"/>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2" w:name="xdx_49E_20260101__20260630_zz9Uayt3peFg"/>
            <w:bookmarkEnd w:id="462"/>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463" w:name="xdx_496_20250101__20250630_zGD8TTjUM8N4"/>
            <w:bookmarkEnd w:id="463"/>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464" w:name="xdx_404_eus-gaap--RevenueFromContractWit"/>
            <w:bookmarkEnd w:id="464"/>
          </w:p>
        </w:tc>
      </w:tr>
      <w:tr>
        <w:trPr/>
        <w:tc>
          <w:tcPr>
            <w:tcW w:w="357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b/>
              </w:rPr>
            </w:pPr>
            <w:r>
              <w:rPr>
                <w:b/>
              </w:rPr>
              <w:t>1,771</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b/>
              </w:rPr>
            </w:pPr>
            <w:r>
              <w:rPr>
                <w:b/>
              </w:rPr>
              <w:t>1,778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b/>
              </w:rPr>
            </w:pPr>
            <w:r>
              <w:rPr>
                <w:b/>
              </w:rPr>
              <w:t>5,169</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b/>
              </w:rPr>
            </w:pPr>
            <w:r>
              <w:rPr>
                <w:b/>
              </w:rPr>
              <w:t>3,307</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65" w:name="xdx_40F_eus-gaap--CostOfGoodsAndServices"/>
            <w:bookmarkEnd w:id="465"/>
          </w:p>
        </w:tc>
      </w:tr>
      <w:tr>
        <w:trPr/>
        <w:tc>
          <w:tcPr>
            <w:tcW w:w="357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66" w:name="xdx_406_eus-gaap--CostDirectMaterial_i01"/>
            <w:bookmarkEnd w:id="466"/>
          </w:p>
        </w:tc>
      </w:tr>
      <w:tr>
        <w:trPr/>
        <w:tc>
          <w:tcPr>
            <w:tcW w:w="3575" w:type="dxa"/>
            <w:tcBorders/>
            <w:shd w:fill="FFFFFF" w:val="clear"/>
            <w:vAlign w:val="center"/>
          </w:tcPr>
          <w:p>
            <w:pPr>
              <w:pStyle w:val="TableContents"/>
              <w:bidi w:val="0"/>
              <w:spacing w:before="0" w:after="283"/>
              <w:jc w:val="left"/>
              <w:rPr/>
            </w:pPr>
            <w:r>
              <w:rPr/>
              <w:t>Material and Labor</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1,631</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1,138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3,322</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2,163</w:t>
            </w:r>
          </w:p>
        </w:tc>
        <w:tc>
          <w:tcPr>
            <w:tcW w:w="110" w:type="dxa"/>
            <w:tcBorders/>
            <w:shd w:fill="FFFFFF" w:val="clear"/>
            <w:vAlign w:val="center"/>
          </w:tcPr>
          <w:p>
            <w:pPr>
              <w:pStyle w:val="TableContents"/>
              <w:bidi w:val="0"/>
              <w:spacing w:before="0" w:after="283"/>
              <w:jc w:val="left"/>
              <w:rPr/>
            </w:pPr>
            <w:r>
              <w:rPr/>
              <w:t> </w:t>
            </w:r>
            <w:bookmarkStart w:id="467" w:name="xdx_408_eus-gaap--OtherCostOfOperatingRe"/>
            <w:bookmarkEnd w:id="467"/>
          </w:p>
        </w:tc>
      </w:tr>
      <w:tr>
        <w:trPr/>
        <w:tc>
          <w:tcPr>
            <w:tcW w:w="3575" w:type="dxa"/>
            <w:tcBorders/>
            <w:shd w:fill="CCEEFF" w:val="clear"/>
            <w:vAlign w:val="center"/>
          </w:tcPr>
          <w:p>
            <w:pPr>
              <w:pStyle w:val="TableContents"/>
              <w:bidi w:val="0"/>
              <w:spacing w:before="0" w:after="283"/>
              <w:jc w:val="left"/>
              <w:rPr/>
            </w:pPr>
            <w:r>
              <w:rPr/>
              <w:t>Other cost of revenues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302</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849</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539</w:t>
            </w:r>
          </w:p>
        </w:tc>
        <w:tc>
          <w:tcPr>
            <w:tcW w:w="110" w:type="dxa"/>
            <w:tcBorders/>
            <w:shd w:fill="CCEEFF" w:val="clear"/>
            <w:vAlign w:val="center"/>
          </w:tcPr>
          <w:p>
            <w:pPr>
              <w:pStyle w:val="TableContents"/>
              <w:bidi w:val="0"/>
              <w:spacing w:before="0" w:after="283"/>
              <w:jc w:val="left"/>
              <w:rPr/>
            </w:pPr>
            <w:r>
              <w:rPr/>
              <w:t> </w:t>
            </w:r>
            <w:bookmarkStart w:id="468" w:name="xdx_404_eus-gaap--InventoryWriteDown_i01"/>
            <w:bookmarkEnd w:id="468"/>
          </w:p>
        </w:tc>
      </w:tr>
      <w:tr>
        <w:trPr/>
        <w:tc>
          <w:tcPr>
            <w:tcW w:w="3575" w:type="dxa"/>
            <w:tcBorders/>
            <w:shd w:fill="FFFFFF" w:val="clear"/>
            <w:vAlign w:val="center"/>
          </w:tcPr>
          <w:p>
            <w:pPr>
              <w:pStyle w:val="TableContents"/>
              <w:bidi w:val="0"/>
              <w:spacing w:before="0" w:after="283"/>
              <w:jc w:val="left"/>
              <w:rPr/>
            </w:pPr>
            <w:r>
              <w:rPr/>
              <w:t xml:space="preserve">Inventory write-off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612</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1,085</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69" w:name="xdx_409_eus-gaap--CostOfGoodsAndServices"/>
            <w:bookmarkEnd w:id="469"/>
          </w:p>
        </w:tc>
      </w:tr>
      <w:tr>
        <w:trPr/>
        <w:tc>
          <w:tcPr>
            <w:tcW w:w="3575" w:type="dxa"/>
            <w:tcBorders/>
            <w:shd w:fill="CCEEFF" w:val="clear"/>
            <w:vAlign w:val="center"/>
          </w:tcPr>
          <w:p>
            <w:pPr>
              <w:pStyle w:val="TableContents"/>
              <w:bidi w:val="0"/>
              <w:spacing w:before="0" w:after="283"/>
              <w:jc w:val="left"/>
              <w:rPr>
                <w:b/>
              </w:rPr>
            </w:pPr>
            <w:r>
              <w:rPr>
                <w:b/>
              </w:rPr>
              <w:t>Total Cost of Revenues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b/>
              </w:rPr>
            </w:pPr>
            <w:r>
              <w:rPr>
                <w:b/>
              </w:rPr>
              <w:t>2,545</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b/>
              </w:rPr>
            </w:pPr>
            <w:r>
              <w:rPr>
                <w:b/>
              </w:rPr>
              <w:t>1,465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b/>
              </w:rPr>
            </w:pPr>
            <w:r>
              <w:rPr>
                <w:b/>
              </w:rPr>
              <w:t>5,256</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b/>
              </w:rPr>
            </w:pPr>
            <w:r>
              <w:rPr>
                <w:b/>
              </w:rPr>
              <w:t>2,702</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70" w:name="xdx_40A_eus-gaap--ResearchAndDevelopment"/>
            <w:bookmarkEnd w:id="470"/>
          </w:p>
        </w:tc>
      </w:tr>
      <w:tr>
        <w:trPr/>
        <w:tc>
          <w:tcPr>
            <w:tcW w:w="3575" w:type="dxa"/>
            <w:tcBorders/>
            <w:shd w:fill="CCEEFF" w:val="clear"/>
            <w:vAlign w:val="center"/>
          </w:tcPr>
          <w:p>
            <w:pPr>
              <w:pStyle w:val="TableContents"/>
              <w:bidi w:val="0"/>
              <w:spacing w:before="0" w:after="283"/>
              <w:jc w:val="left"/>
              <w:rPr>
                <w:b/>
              </w:rPr>
            </w:pPr>
            <w:r>
              <w:rPr>
                <w:b/>
              </w:rPr>
              <w:t>Research and development (R&amp;D)</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71" w:name="xdx_40A_eus-gaap--EmployeeBenefitsAndSha"/>
            <w:bookmarkEnd w:id="471"/>
          </w:p>
        </w:tc>
      </w:tr>
      <w:tr>
        <w:trPr/>
        <w:tc>
          <w:tcPr>
            <w:tcW w:w="3575" w:type="dxa"/>
            <w:tcBorders/>
            <w:shd w:fill="FFFFFF" w:val="clear"/>
            <w:vAlign w:val="center"/>
          </w:tcPr>
          <w:p>
            <w:pPr>
              <w:pStyle w:val="TableContents"/>
              <w:bidi w:val="0"/>
              <w:spacing w:before="0" w:after="283"/>
              <w:jc w:val="left"/>
              <w:rPr/>
            </w:pPr>
            <w:r>
              <w:rPr/>
              <w:t>Payroll and Benefits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1,282</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1,120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2,882</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1,974</w:t>
            </w:r>
          </w:p>
        </w:tc>
        <w:tc>
          <w:tcPr>
            <w:tcW w:w="110" w:type="dxa"/>
            <w:tcBorders/>
            <w:shd w:fill="FFFFFF" w:val="clear"/>
            <w:vAlign w:val="center"/>
          </w:tcPr>
          <w:p>
            <w:pPr>
              <w:pStyle w:val="TableContents"/>
              <w:bidi w:val="0"/>
              <w:spacing w:before="0" w:after="283"/>
              <w:jc w:val="left"/>
              <w:rPr/>
            </w:pPr>
            <w:r>
              <w:rPr/>
              <w:t> </w:t>
            </w:r>
            <w:bookmarkStart w:id="472" w:name="xdx_40E_eus-gaap--ShareBasedCompensation"/>
            <w:bookmarkEnd w:id="472"/>
          </w:p>
        </w:tc>
      </w:tr>
      <w:tr>
        <w:trPr/>
        <w:tc>
          <w:tcPr>
            <w:tcW w:w="3575"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435</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610</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1,314</w:t>
            </w:r>
          </w:p>
        </w:tc>
        <w:tc>
          <w:tcPr>
            <w:tcW w:w="110" w:type="dxa"/>
            <w:tcBorders/>
            <w:shd w:fill="CCEEFF" w:val="clear"/>
            <w:vAlign w:val="center"/>
          </w:tcPr>
          <w:p>
            <w:pPr>
              <w:pStyle w:val="TableContents"/>
              <w:bidi w:val="0"/>
              <w:spacing w:before="0" w:after="283"/>
              <w:jc w:val="left"/>
              <w:rPr/>
            </w:pPr>
            <w:r>
              <w:rPr/>
              <w:t> </w:t>
            </w:r>
            <w:bookmarkStart w:id="473" w:name="xdx_401_ecustom--ClinicalTrials_i01_pn3n"/>
            <w:bookmarkEnd w:id="473"/>
          </w:p>
        </w:tc>
      </w:tr>
      <w:tr>
        <w:trPr/>
        <w:tc>
          <w:tcPr>
            <w:tcW w:w="3575" w:type="dxa"/>
            <w:tcBorders/>
            <w:shd w:fill="FFFFFF" w:val="clear"/>
            <w:vAlign w:val="center"/>
          </w:tcPr>
          <w:p>
            <w:pPr>
              <w:pStyle w:val="TableContents"/>
              <w:bidi w:val="0"/>
              <w:spacing w:before="0" w:after="283"/>
              <w:jc w:val="left"/>
              <w:rPr/>
            </w:pPr>
            <w:r>
              <w:rPr/>
              <w:t>Clinical trials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972</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1,125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2,473</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2,287</w:t>
            </w:r>
          </w:p>
        </w:tc>
        <w:tc>
          <w:tcPr>
            <w:tcW w:w="110" w:type="dxa"/>
            <w:tcBorders/>
            <w:shd w:fill="FFFFFF" w:val="clear"/>
            <w:vAlign w:val="center"/>
          </w:tcPr>
          <w:p>
            <w:pPr>
              <w:pStyle w:val="TableContents"/>
              <w:bidi w:val="0"/>
              <w:spacing w:before="0" w:after="283"/>
              <w:jc w:val="left"/>
              <w:rPr/>
            </w:pPr>
            <w:r>
              <w:rPr/>
              <w:t> </w:t>
            </w:r>
            <w:bookmarkStart w:id="474" w:name="xdx_40A_eus-gaap--OtherResearchAndDevelo"/>
            <w:bookmarkEnd w:id="474"/>
          </w:p>
        </w:tc>
      </w:tr>
      <w:tr>
        <w:trPr/>
        <w:tc>
          <w:tcPr>
            <w:tcW w:w="3575" w:type="dxa"/>
            <w:tcBorders/>
            <w:shd w:fill="CCEEFF" w:val="clear"/>
            <w:vAlign w:val="center"/>
          </w:tcPr>
          <w:p>
            <w:pPr>
              <w:pStyle w:val="TableContents"/>
              <w:bidi w:val="0"/>
              <w:spacing w:before="0" w:after="283"/>
              <w:jc w:val="left"/>
              <w:rPr/>
            </w:pPr>
            <w:r>
              <w:rPr/>
              <w:t>Other R&amp;D</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1,606</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3,093</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2,318</w:t>
            </w:r>
          </w:p>
        </w:tc>
        <w:tc>
          <w:tcPr>
            <w:tcW w:w="110" w:type="dxa"/>
            <w:tcBorders/>
            <w:shd w:fill="CCEEFF" w:val="clear"/>
            <w:vAlign w:val="center"/>
          </w:tcPr>
          <w:p>
            <w:pPr>
              <w:pStyle w:val="TableContents"/>
              <w:bidi w:val="0"/>
              <w:spacing w:before="0" w:after="283"/>
              <w:jc w:val="left"/>
              <w:rPr/>
            </w:pPr>
            <w:r>
              <w:rPr/>
              <w:t> </w:t>
            </w:r>
            <w:bookmarkStart w:id="475" w:name="xdx_400_eus-gaap--ResearchAndDevelopment"/>
            <w:bookmarkEnd w:id="475"/>
          </w:p>
        </w:tc>
      </w:tr>
      <w:tr>
        <w:trPr/>
        <w:tc>
          <w:tcPr>
            <w:tcW w:w="3575" w:type="dxa"/>
            <w:tcBorders/>
            <w:shd w:fill="FFFFFF" w:val="clear"/>
            <w:vAlign w:val="center"/>
          </w:tcPr>
          <w:p>
            <w:pPr>
              <w:pStyle w:val="TableContents"/>
              <w:bidi w:val="0"/>
              <w:spacing w:before="0" w:after="283"/>
              <w:jc w:val="left"/>
              <w:rPr>
                <w:b/>
              </w:rPr>
            </w:pPr>
            <w:r>
              <w:rPr>
                <w:b/>
              </w:rPr>
              <w:t>Total Research and development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b/>
              </w:rPr>
            </w:pPr>
            <w:r>
              <w:rPr>
                <w:b/>
              </w:rPr>
              <w:t>4,295</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b/>
              </w:rPr>
            </w:pPr>
            <w:r>
              <w:rPr>
                <w:b/>
              </w:rPr>
              <w:t>3,834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b/>
              </w:rPr>
            </w:pPr>
            <w:r>
              <w:rPr>
                <w:b/>
              </w:rPr>
              <w:t>9,058</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b/>
              </w:rPr>
            </w:pPr>
            <w:r>
              <w:rPr>
                <w:b/>
              </w:rPr>
              <w:t>7,893</w:t>
            </w:r>
          </w:p>
        </w:tc>
        <w:tc>
          <w:tcPr>
            <w:tcW w:w="11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76" w:name="xdx_40C_eus-gaap--SellingAndMarketingExp"/>
            <w:bookmarkEnd w:id="476"/>
          </w:p>
        </w:tc>
      </w:tr>
      <w:tr>
        <w:trPr/>
        <w:tc>
          <w:tcPr>
            <w:tcW w:w="3575" w:type="dxa"/>
            <w:tcBorders/>
            <w:shd w:fill="FFFFFF" w:val="clear"/>
            <w:vAlign w:val="center"/>
          </w:tcPr>
          <w:p>
            <w:pPr>
              <w:pStyle w:val="TableContents"/>
              <w:bidi w:val="0"/>
              <w:spacing w:before="0" w:after="283"/>
              <w:jc w:val="left"/>
              <w:rPr>
                <w:b/>
              </w:rPr>
            </w:pPr>
            <w:r>
              <w:rPr>
                <w:b/>
              </w:rPr>
              <w:t>Selling and marketing (S&amp;M)</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77" w:name="xdx_403_eus-gaap--EmployeeBenefitsAndSha"/>
            <w:bookmarkEnd w:id="477"/>
          </w:p>
        </w:tc>
      </w:tr>
      <w:tr>
        <w:trPr/>
        <w:tc>
          <w:tcPr>
            <w:tcW w:w="3575" w:type="dxa"/>
            <w:tcBorders/>
            <w:shd w:fill="CCEEFF" w:val="clear"/>
            <w:vAlign w:val="center"/>
          </w:tcPr>
          <w:p>
            <w:pPr>
              <w:pStyle w:val="TableContents"/>
              <w:bidi w:val="0"/>
              <w:spacing w:before="0" w:after="283"/>
              <w:jc w:val="left"/>
              <w:rPr/>
            </w:pPr>
            <w:r>
              <w:rPr/>
              <w:t>Payroll and Benefits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3,932</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2,779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7,795</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4,757</w:t>
            </w:r>
          </w:p>
        </w:tc>
        <w:tc>
          <w:tcPr>
            <w:tcW w:w="110" w:type="dxa"/>
            <w:tcBorders/>
            <w:shd w:fill="CCEEFF" w:val="clear"/>
            <w:vAlign w:val="center"/>
          </w:tcPr>
          <w:p>
            <w:pPr>
              <w:pStyle w:val="TableContents"/>
              <w:bidi w:val="0"/>
              <w:spacing w:before="0" w:after="283"/>
              <w:jc w:val="left"/>
              <w:rPr/>
            </w:pPr>
            <w:r>
              <w:rPr/>
              <w:t> </w:t>
            </w:r>
            <w:bookmarkStart w:id="478" w:name="xdx_409_eus-gaap--ShareBasedCompensation"/>
            <w:bookmarkEnd w:id="478"/>
          </w:p>
        </w:tc>
      </w:tr>
      <w:tr>
        <w:trPr/>
        <w:tc>
          <w:tcPr>
            <w:tcW w:w="3575"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543</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1,124</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812</w:t>
            </w:r>
          </w:p>
        </w:tc>
        <w:tc>
          <w:tcPr>
            <w:tcW w:w="110" w:type="dxa"/>
            <w:tcBorders/>
            <w:shd w:fill="FFFFFF" w:val="clear"/>
            <w:vAlign w:val="center"/>
          </w:tcPr>
          <w:p>
            <w:pPr>
              <w:pStyle w:val="TableContents"/>
              <w:bidi w:val="0"/>
              <w:spacing w:before="0" w:after="283"/>
              <w:jc w:val="left"/>
              <w:rPr/>
            </w:pPr>
            <w:r>
              <w:rPr/>
              <w:t> </w:t>
            </w:r>
            <w:bookmarkStart w:id="479" w:name="xdx_404_eus-gaap--OtherSellingAndMarketi"/>
            <w:bookmarkEnd w:id="479"/>
          </w:p>
        </w:tc>
      </w:tr>
      <w:tr>
        <w:trPr/>
        <w:tc>
          <w:tcPr>
            <w:tcW w:w="3575" w:type="dxa"/>
            <w:tcBorders/>
            <w:shd w:fill="CCEEFF" w:val="clear"/>
            <w:vAlign w:val="center"/>
          </w:tcPr>
          <w:p>
            <w:pPr>
              <w:pStyle w:val="TableContents"/>
              <w:bidi w:val="0"/>
              <w:spacing w:before="0" w:after="283"/>
              <w:jc w:val="left"/>
              <w:rPr/>
            </w:pPr>
            <w:r>
              <w:rPr/>
              <w:t>Other S&amp;M</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746</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1,482</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1,353</w:t>
            </w:r>
          </w:p>
        </w:tc>
        <w:tc>
          <w:tcPr>
            <w:tcW w:w="110" w:type="dxa"/>
            <w:tcBorders/>
            <w:shd w:fill="CCEEFF" w:val="clear"/>
            <w:vAlign w:val="center"/>
          </w:tcPr>
          <w:p>
            <w:pPr>
              <w:pStyle w:val="TableContents"/>
              <w:bidi w:val="0"/>
              <w:spacing w:before="0" w:after="283"/>
              <w:jc w:val="left"/>
              <w:rPr/>
            </w:pPr>
            <w:r>
              <w:rPr/>
              <w:t> </w:t>
            </w:r>
            <w:bookmarkStart w:id="480" w:name="xdx_400_eus-gaap--SellingAndMarketingExp"/>
            <w:bookmarkEnd w:id="480"/>
          </w:p>
        </w:tc>
      </w:tr>
      <w:tr>
        <w:trPr/>
        <w:tc>
          <w:tcPr>
            <w:tcW w:w="3575" w:type="dxa"/>
            <w:tcBorders/>
            <w:shd w:fill="FFFFFF" w:val="clear"/>
            <w:vAlign w:val="center"/>
          </w:tcPr>
          <w:p>
            <w:pPr>
              <w:pStyle w:val="TableContents"/>
              <w:bidi w:val="0"/>
              <w:spacing w:before="0" w:after="283"/>
              <w:jc w:val="left"/>
              <w:rPr>
                <w:b/>
              </w:rPr>
            </w:pPr>
            <w:r>
              <w:rPr>
                <w:b/>
              </w:rPr>
              <w:t>Total Selling and marketing</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b/>
              </w:rPr>
            </w:pPr>
            <w:r>
              <w:rPr>
                <w:b/>
              </w:rPr>
              <w:t>5,221</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b/>
              </w:rPr>
            </w:pPr>
            <w:r>
              <w:rPr>
                <w:b/>
              </w:rPr>
              <w:t>4,172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b/>
              </w:rPr>
            </w:pPr>
            <w:r>
              <w:rPr>
                <w:b/>
              </w:rPr>
              <w:t>10,401</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b/>
              </w:rPr>
            </w:pPr>
            <w:r>
              <w:rPr>
                <w:b/>
              </w:rPr>
              <w:t>6,922</w:t>
            </w:r>
          </w:p>
        </w:tc>
        <w:tc>
          <w:tcPr>
            <w:tcW w:w="11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81" w:name="xdx_40B_eus-gaap--GeneralAndAdministrati"/>
            <w:bookmarkEnd w:id="481"/>
          </w:p>
        </w:tc>
      </w:tr>
      <w:tr>
        <w:trPr/>
        <w:tc>
          <w:tcPr>
            <w:tcW w:w="3575" w:type="dxa"/>
            <w:tcBorders/>
            <w:shd w:fill="FFFFFF" w:val="clear"/>
            <w:vAlign w:val="center"/>
          </w:tcPr>
          <w:p>
            <w:pPr>
              <w:pStyle w:val="TableContents"/>
              <w:bidi w:val="0"/>
              <w:spacing w:before="0" w:after="283"/>
              <w:jc w:val="left"/>
              <w:rPr>
                <w:b/>
              </w:rPr>
            </w:pPr>
            <w:r>
              <w:rPr>
                <w:b/>
              </w:rPr>
              <w:t>General and administrative (G&amp;A)</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82" w:name="xdx_402_eus-gaap--EmployeeBenefitsAndSha"/>
            <w:bookmarkEnd w:id="482"/>
          </w:p>
        </w:tc>
      </w:tr>
      <w:tr>
        <w:trPr/>
        <w:tc>
          <w:tcPr>
            <w:tcW w:w="3575" w:type="dxa"/>
            <w:tcBorders/>
            <w:shd w:fill="CCEEFF" w:val="clear"/>
            <w:vAlign w:val="center"/>
          </w:tcPr>
          <w:p>
            <w:pPr>
              <w:pStyle w:val="TableContents"/>
              <w:bidi w:val="0"/>
              <w:spacing w:before="0" w:after="283"/>
              <w:jc w:val="left"/>
              <w:rPr/>
            </w:pPr>
            <w:r>
              <w:rPr/>
              <w:t>Payroll and Benefits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1,365</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3,172</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3,309</w:t>
            </w:r>
          </w:p>
        </w:tc>
        <w:tc>
          <w:tcPr>
            <w:tcW w:w="110" w:type="dxa"/>
            <w:tcBorders/>
            <w:shd w:fill="CCEEFF" w:val="clear"/>
            <w:vAlign w:val="center"/>
          </w:tcPr>
          <w:p>
            <w:pPr>
              <w:pStyle w:val="TableContents"/>
              <w:bidi w:val="0"/>
              <w:spacing w:before="0" w:after="283"/>
              <w:jc w:val="left"/>
              <w:rPr/>
            </w:pPr>
            <w:r>
              <w:rPr/>
              <w:t> </w:t>
            </w:r>
            <w:bookmarkStart w:id="483" w:name="xdx_40D_eus-gaap--ShareBasedCompensation"/>
            <w:bookmarkEnd w:id="483"/>
          </w:p>
        </w:tc>
      </w:tr>
      <w:tr>
        <w:trPr/>
        <w:tc>
          <w:tcPr>
            <w:tcW w:w="3575"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1,177</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1,920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2,466</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3,700</w:t>
            </w:r>
          </w:p>
        </w:tc>
        <w:tc>
          <w:tcPr>
            <w:tcW w:w="110" w:type="dxa"/>
            <w:tcBorders/>
            <w:shd w:fill="FFFFFF" w:val="clear"/>
            <w:vAlign w:val="center"/>
          </w:tcPr>
          <w:p>
            <w:pPr>
              <w:pStyle w:val="TableContents"/>
              <w:bidi w:val="0"/>
              <w:spacing w:before="0" w:after="283"/>
              <w:jc w:val="left"/>
              <w:rPr/>
            </w:pPr>
            <w:r>
              <w:rPr/>
              <w:t> </w:t>
            </w:r>
            <w:bookmarkStart w:id="484" w:name="xdx_402_eus-gaap--OtherGeneralAndAdminis"/>
            <w:bookmarkEnd w:id="484"/>
          </w:p>
        </w:tc>
      </w:tr>
      <w:tr>
        <w:trPr/>
        <w:tc>
          <w:tcPr>
            <w:tcW w:w="3575" w:type="dxa"/>
            <w:tcBorders/>
            <w:shd w:fill="CCEEFF" w:val="clear"/>
            <w:vAlign w:val="center"/>
          </w:tcPr>
          <w:p>
            <w:pPr>
              <w:pStyle w:val="TableContents"/>
              <w:bidi w:val="0"/>
              <w:spacing w:before="0" w:after="283"/>
              <w:jc w:val="left"/>
              <w:rPr/>
            </w:pPr>
            <w:r>
              <w:rPr/>
              <w:t>Other G&amp;A</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1,613</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3,239</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3,260</w:t>
            </w:r>
          </w:p>
        </w:tc>
        <w:tc>
          <w:tcPr>
            <w:tcW w:w="110" w:type="dxa"/>
            <w:tcBorders/>
            <w:shd w:fill="CCEEFF" w:val="clear"/>
            <w:vAlign w:val="center"/>
          </w:tcPr>
          <w:p>
            <w:pPr>
              <w:pStyle w:val="TableContents"/>
              <w:bidi w:val="0"/>
              <w:spacing w:before="0" w:after="283"/>
              <w:jc w:val="left"/>
              <w:rPr/>
            </w:pPr>
            <w:r>
              <w:rPr/>
              <w:t> </w:t>
            </w:r>
            <w:bookmarkStart w:id="485" w:name="xdx_40A_eus-gaap--GeneralAndAdministrati"/>
            <w:bookmarkEnd w:id="485"/>
          </w:p>
        </w:tc>
      </w:tr>
      <w:tr>
        <w:trPr/>
        <w:tc>
          <w:tcPr>
            <w:tcW w:w="3575" w:type="dxa"/>
            <w:tcBorders/>
            <w:shd w:fill="FFFFFF" w:val="clear"/>
            <w:vAlign w:val="center"/>
          </w:tcPr>
          <w:p>
            <w:pPr>
              <w:pStyle w:val="TableContents"/>
              <w:bidi w:val="0"/>
              <w:spacing w:before="0" w:after="283"/>
              <w:jc w:val="left"/>
              <w:rPr>
                <w:b/>
              </w:rPr>
            </w:pPr>
            <w:r>
              <w:rPr>
                <w:b/>
              </w:rPr>
              <w:t>Total General and administrative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b/>
              </w:rPr>
            </w:pPr>
            <w:r>
              <w:rPr>
                <w:b/>
              </w:rPr>
              <w:t>4,155</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b/>
              </w:rPr>
            </w:pPr>
            <w:r>
              <w:rPr>
                <w:b/>
              </w:rPr>
              <w:t>5,326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b/>
              </w:rPr>
            </w:pPr>
            <w:r>
              <w:rPr>
                <w:b/>
              </w:rPr>
              <w:t>8,877</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b/>
              </w:rPr>
            </w:pPr>
            <w:r>
              <w:rPr>
                <w:b/>
              </w:rPr>
              <w:t>10,269</w:t>
            </w:r>
          </w:p>
        </w:tc>
        <w:tc>
          <w:tcPr>
            <w:tcW w:w="11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86" w:name="xdx_408_eus-gaap--NonoperatingIncomeExpe"/>
            <w:bookmarkEnd w:id="486"/>
          </w:p>
        </w:tc>
      </w:tr>
      <w:tr>
        <w:trPr/>
        <w:tc>
          <w:tcPr>
            <w:tcW w:w="3575" w:type="dxa"/>
            <w:tcBorders/>
            <w:shd w:fill="FFFFFF" w:val="clear"/>
            <w:vAlign w:val="center"/>
          </w:tcPr>
          <w:p>
            <w:pPr>
              <w:pStyle w:val="TableContents"/>
              <w:bidi w:val="0"/>
              <w:spacing w:before="0" w:after="283"/>
              <w:jc w:val="left"/>
              <w:rPr/>
            </w:pPr>
            <w:r>
              <w:rPr/>
              <w:t>Financial Income (expenses), net;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pPr>
            <w:r>
              <w:rPr/>
              <w:t>121</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pPr>
            <w:r>
              <w:rPr/>
              <w:t>(132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pPr>
            <w:r>
              <w:rPr/>
              <w:t>410</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pPr>
            <w:r>
              <w:rPr/>
              <w:t>162</w:t>
            </w:r>
          </w:p>
        </w:tc>
        <w:tc>
          <w:tcPr>
            <w:tcW w:w="110" w:type="dxa"/>
            <w:tcBorders/>
            <w:shd w:fill="FFFFFF" w:val="clear"/>
            <w:vAlign w:val="center"/>
          </w:tcPr>
          <w:p>
            <w:pPr>
              <w:pStyle w:val="TableContents"/>
              <w:bidi w:val="0"/>
              <w:spacing w:before="0" w:after="283"/>
              <w:jc w:val="left"/>
              <w:rPr/>
            </w:pPr>
            <w:r>
              <w:rPr/>
              <w:t> </w:t>
            </w:r>
            <w:bookmarkStart w:id="487" w:name="xdx_403_eus-gaap--NetIncomeLoss_pn3n3_z0"/>
            <w:bookmarkEnd w:id="487"/>
          </w:p>
        </w:tc>
      </w:tr>
      <w:tr>
        <w:trPr/>
        <w:tc>
          <w:tcPr>
            <w:tcW w:w="3575" w:type="dxa"/>
            <w:tcBorders/>
            <w:shd w:fill="CCEEFF" w:val="clear"/>
            <w:vAlign w:val="center"/>
          </w:tcPr>
          <w:p>
            <w:pPr>
              <w:pStyle w:val="TableContents"/>
              <w:bidi w:val="0"/>
              <w:spacing w:before="0" w:after="283"/>
              <w:jc w:val="left"/>
              <w:rPr/>
            </w:pPr>
            <w:r>
              <w:rPr/>
              <w:t>Segment net loss</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double" w:sz="6" w:space="0" w:color="000000"/>
            </w:tcBorders>
            <w:shd w:fill="CCEEFF" w:val="clear"/>
            <w:tcMar>
              <w:bottom w:w="28" w:type="dxa"/>
            </w:tcMar>
            <w:vAlign w:val="center"/>
          </w:tcPr>
          <w:p>
            <w:pPr>
              <w:pStyle w:val="TableContents"/>
              <w:bidi w:val="0"/>
              <w:spacing w:before="0" w:after="283"/>
              <w:jc w:val="right"/>
              <w:rPr/>
            </w:pPr>
            <w:r>
              <w:rPr/>
              <w:t>(14,324</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double" w:sz="6" w:space="0" w:color="000000"/>
            </w:tcBorders>
            <w:shd w:fill="CCEEFF" w:val="clear"/>
            <w:tcMar>
              <w:bottom w:w="28" w:type="dxa"/>
            </w:tcMar>
            <w:vAlign w:val="center"/>
          </w:tcPr>
          <w:p>
            <w:pPr>
              <w:pStyle w:val="TableContents"/>
              <w:bidi w:val="0"/>
              <w:spacing w:before="0" w:after="283"/>
              <w:jc w:val="right"/>
              <w:rPr/>
            </w:pPr>
            <w:r>
              <w:rPr/>
              <w:t>(13,151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double" w:sz="6" w:space="0" w:color="000000"/>
            </w:tcBorders>
            <w:shd w:fill="CCEEFF" w:val="clear"/>
            <w:tcMar>
              <w:bottom w:w="28" w:type="dxa"/>
            </w:tcMar>
            <w:vAlign w:val="center"/>
          </w:tcPr>
          <w:p>
            <w:pPr>
              <w:pStyle w:val="TableContents"/>
              <w:bidi w:val="0"/>
              <w:spacing w:before="0" w:after="283"/>
              <w:jc w:val="right"/>
              <w:rPr/>
            </w:pPr>
            <w:r>
              <w:rPr/>
              <w:t>(28,013</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double" w:sz="6" w:space="0" w:color="000000"/>
            </w:tcBorders>
            <w:shd w:fill="CCEEFF" w:val="clear"/>
            <w:tcMar>
              <w:bottom w:w="28" w:type="dxa"/>
            </w:tcMar>
            <w:vAlign w:val="center"/>
          </w:tcPr>
          <w:p>
            <w:pPr>
              <w:pStyle w:val="TableContents"/>
              <w:bidi w:val="0"/>
              <w:spacing w:before="0" w:after="283"/>
              <w:jc w:val="right"/>
              <w:rPr/>
            </w:pPr>
            <w:r>
              <w:rPr/>
              <w:t>(24,317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bookmarkStart w:id="488" w:name="xdx_8A3_zW2y29mnNWm8"/>
      <w:bookmarkEnd w:id="488"/>
      <w:r>
        <w:rPr/>
        <w:t> </w:t>
      </w:r>
    </w:p>
    <w:p>
      <w:pPr>
        <w:pStyle w:val="TextBody"/>
        <w:bidi w:val="0"/>
        <w:spacing w:before="0" w:after="0"/>
        <w:jc w:val="left"/>
        <w:rPr/>
      </w:pPr>
      <w:bookmarkStart w:id="489" w:name="xdx_81A_zJQwaJV1cx6g"/>
      <w:bookmarkEnd w:id="489"/>
      <w:r>
        <w:rPr/>
        <w:t> </w:t>
      </w:r>
    </w:p>
    <w:p>
      <w:pPr>
        <w:pStyle w:val="Normal"/>
        <w:bidi w:val="0"/>
        <w:spacing w:before="0" w:after="0"/>
        <w:jc w:val="left"/>
        <w:rPr>
          <w:sz w:val="4"/>
          <w:szCs w:val="4"/>
        </w:rPr>
      </w:pPr>
      <w:r>
        <w:rPr>
          <w:sz w:val="4"/>
          <w:szCs w:val="4"/>
        </w:rPr>
      </w:r>
      <w:bookmarkStart w:id="490" w:name="xdx_814_zSqrmm2vrdW3"/>
      <w:bookmarkStart w:id="491" w:name="xdx_814_zSqrmm2vrdW3"/>
      <w:bookmarkEnd w:id="491"/>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the accompanying condensed consolidated financial statements and related notes included elsewhere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this Form 10-Q to the “Company,” “InspireMD,” “we,” “our” and “us” refer to InspireMD, Inc., a Delaware corporation,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which include information relating to future events, future financial performance, strategies, expectations, competitive environment and regulation, including revenue growth. Words such as “may,” “will,” “should,” “could,” “would,” “predicts,” “potential,” “continue,” “expects,” “anticipates,” “future,” “intends,” “plans,” “believes,” “estimates,” and similar expressions, as well as statements in future tense, identify forward-looking statements. Forward-looking statements should not be read as a guarantee of future performance or results and may not be accurate indications of when such performance or results will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raise additional capital to meet our business requirements in the future and such capital raising may be costly or difficult to obtain and could dilute our stockholders’ ownership interests;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development, commercialization and market acceptance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clinical trial results for our products will be predictive of real-world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secure and maintain regulatory approvals for the sale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impact of a product recall, including the current recall in the U.S. regarding the CGuard Prime 135cm Carotid Stent System, on our business, results of operations and financial conditions;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clinical trial results or lengthy product delays in key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the Nasdaq listing standards;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significant revenues from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expenses, future revenues, capital requirements and our needs for and ability to access sufficient additional financing, including any unexpected costs or delays in the ongoing commercial launch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single manufacturing facility and our ability to comply with stringent manufacturing quality standards and to increase production as necessary;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data collected from our current and planned clinical trials may not be sufficient to demonstrate that our technology is an attractive alternative to other procedures and products;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intense competition in our industry, with competitors having substantially greater financial, technological, research and development, regulatory and clinical, manufacturing, marketing and sales, distribution and personnel resources than we do;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of new competitors and products and potential technological obsolescence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carry out research, development and commercialization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 key customer or supplier;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problems with our research and products and potential product liability claims;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malfunctions;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increases for supplies and components;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access to our products is achieved in a commercially viable manner and whether our products receive adequate reimbursement by governmental and other third-party payers;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successfully obtain and maintain intellectual property protection covering our products, which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federal, state and local government regulation, in the United States, Europe or Israel and other foreign jurisdictions;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we conduct business in multiple foreign jurisdictions, exposing us to foreign currency exchange rate fluctuations, logistical and communications challenges, burdens and costs of compliance with foreign laws and political and economic instability in each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political and economic instability in the Middle East that could harm our business, including due to the current security situation in Israel;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future unfavorable economic and market conditions and adverse developments with respect to financial institutions and associated liquidity risk;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tariffs, trade barriers, price and exchange controls and other regulatory requirements and the impact of such policies on us, our customers and suppliers, and the global economic environment.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our forward-looking statements. For a discussion of these and other risks that relate to our business and investing in our common stock, you should carefully review the risks and uncertainties described in this Quarterly Report on Form 10-Q, and those described from time to time in our future reports filed with the Securities and Exchange Commission. The forward-looking statements contained in this Quarterly Report on Form 10-Q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medical device company specializing in the development and commercialization of products for the treatment of carotid artery disease and other vascular conditions. Our portfolio includes two commercial products based on our proprietary CGuard carotid stent technology, designed to provide market-leading embolic protection during and after stenting procedures. A stent is an expandable scaffold-like metallic device placed in an artery to widen the lumen and restore blood flow.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product, the CGuard Carotid Embolic Prevention System (“CGuard EPS”), integrates a self-expanding nitinol stent with a MicroNet mesh sleeve as a single device for carotid artery revascularization. In January 2024, we received CE Mark recertification for CGuard EPS under the EU Medical Device Regulation (“MDR”). Our CGuard EPS previously held CE Mark approval under the former Medical Device Directive (“MDD”). CGuard EPS is marketed in over 30 countries outside the United States through a network of distributors. In the first quarter of 2026, we submitted a premarket approval for the CGuard EPS with a view to potential FDA approval in the second half of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product, the CGuard Prime Carotid Stent System (“CGuard Prime”), uses the same stent and MicroNet mesh as the CGuard EPS with a differentiated deployment mechanism. CGuard Prime received premarket approval (“PMA”) by the U.S. Food and Drug Administration (“FDA”) on June 23, 2025. In May 2026, we announced a voluntary recall in the U.S. of CGuard Prime, undertaken in consultation with the FDA after a controlled launch demonstrated that the technical success of its delivery system during CAS procedures did not meet performance expectations, with the voluntary action pertaining specifically to the delivery system and not to the CGuard stent implant. For additional information, see “</w:t>
      </w:r>
      <w:r>
        <w:rPr>
          <w:rFonts w:ascii="Times New Roman;Times;Serif" w:hAnsi="Times New Roman;Times;Serif"/>
          <w:b w:val="false"/>
          <w:i/>
          <w:caps w:val="false"/>
          <w:smallCaps w:val="false"/>
          <w:sz w:val="20"/>
        </w:rPr>
        <w:t>FDA Matters</w:t>
      </w:r>
      <w:r>
        <w:rPr>
          <w:rFonts w:ascii="Times New Roman;Times;Serif" w:hAnsi="Times New Roman;Times;Serif"/>
          <w:b w:val="false"/>
          <w:i w:val="false"/>
          <w:caps w:val="false"/>
          <w:smallCaps w:val="false"/>
          <w:sz w:val="20"/>
        </w:rPr>
        <w:t>” below. CGuard Prime also received MDR CE Mark approval on June 12,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FDA approved the Company’s IDE to initiate the CGUARDIANS II pivotal study of its CGuard Prime 80 cm carotid stent system during transcarotid revascularization (“TCAR”) procedures. In the first quarter of 2026, we completed enrollment in the CGUARDIANS II pivotal study, and in June 2026, we announced summary 30-day outcome data from the study, which showed acute device success of 100% with no major adverse events. In May 2026, the FDA approved the Company’s IDE to initiate the CGUARDIANS III pivotal study of its CGuard Prime 80 cm carotid stent system during TCAR procedures, and in June 2026, we announced enrollment of the first patient.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Centers for Medicare &amp; Medicaid Services (“CMS”) issued its final National Coverage Determination (“NCD”), expanding coverage for both carotid artery stenting (“CAS”) and TCAR procedures to include both asymptomatic and standard risk patients, significantly expanding and supporting the future growth of the U.S. addressable market for CAS.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results of the CREST-2 study were released, which showed that CAS combined with medical therapy demonstrated a significantly lower stroke risk as compared to intensive medical management alone in patients with severe asymptomatic carotid stenosis. CREST-2 was an independent study sponsored by the National Institute of Health (NIH) with a set of two parallel, observer-blinded clinical trials across 155 centers globally. CREST-2 showed that, among patients with high-grade carotid stenosis without recent neurological symptoms, the addition of stenting led to significantly better outcomes than intensive medical management alone, as measured by a decreased risk of the composite of perioperative stroke or death or ipsilateral stroke within four years. In a separate arm of the same trial, carotid endarterectomy (“CEA”) did not achieve a significant benefit for these patients as compared to intensive medical management alone.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invest in new product generations and potential new clinical indications for the CGuard platform with a strategy of focusing on advancing a “stent-first” approach to carotid revascularization. As part of this strategy, we are evaluating CGuard Prime in TCAR-based clinical programs, including the CGUARDIANS II pivotal trial, which studies the use of the CGuard Prime 80 cm carotid stent system in conjunction with an established neuroprotection device, and the CGUARDIANS III pivotal trial, which evaluates our proprietary SwitchGuard neuroprotection system (“SwitchGuard NPS”) paired with CGuard Prime to enable flow-reversal neuroprotection during TCAR. In parallel, we are pursuing new clinical applications outside TCAR, including the treatment of acute ischemic stroke with tandem lesions, which is currently being studied in an early feasibility study conducted with the Jacobs Institute. In this acute-stroke setting, the flexible, low-metal-burden design and MicroNet mesh of CGuard Prime may offer advantages where traditional embolic-protection devices cannot be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current addressable market for our CGuard EPS, CGuard Prime, and SwitchGuard NPS to be both symptomatic and asymptomatic individuals with diagnosed high-grade carotid artery stenosis for whom intervention is preferable to medical (drug) therapy. This group includes not only patients eligible for either CAS or TCAR procedures, but also individuals who are candidates for CEA, as all three approaches can be options to treat these patients. Assuming full penetration of the intervention caseload, we estimate that the addressable market for CGuard EPS, CGuard Prime, and SwitchGuard NPS is approximately $1.3 billion (source: Health Research International Personal Medical Systems, Inc. September 13, 2021 Results of Update Report on Global Carotid Stenting Procedures and Markets by Major Geography and Addressable Markets and internal estimates). According to this same report and internal estimates, assuming full penetration of treatment for all individuals diagnosed with high-grade carotid artery stenosis, we estimate the total available market for CGuard EPS, CGuard Prime, and SwitchGuard NPS to be approximately $9.3 billion, which may grow over time if expanded treatment options such as our products lead to increased patient screening for carotid artery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we announced a voluntary recall in the U.S. of CGuard Prime, initiated in consultation with the FDA. The Company acted after determining during a controlled launch that the technical success rate of the delivery system during CAS procedures had not met performance expectations. The voluntary action was limited to the CGuard Prime delivery system and did not involve the CGuard stent implant. The Company’s assessment did not identify new safety concerns for patients who had previously received a CGuard implant. We believe we have identified the root cause of the deployment resistance and are implementing design modifications intended to address the issue. We are currently performing verification and validation testing of these modifications in support of a PMA supplement to the FDA which we expect to submit in the fourth quarter of 2026. We cannot provide any assurance that the FDA will be satisfied with the corrective actions we are implementing in connection with the voluntary recall, or as to the timing of the resolution of such issues. Until these issues are resolved to the FDA’s satisfaction, we may be unable to resume commercialization of CGuard Prime in the United States. If the FDA determines that our corrective actions are inadequate or requires additional remediation, testing, validation or regulatory submissions, such requirements could increase costs, delay or prevent FDA acceptance or approval of our proposed PMA supplement, extend the duration of the voluntary recall, delay our ability to reintroduce CGuard Prime to the U.S. market or otherwise adversely affect our future commercialization plans, which could have a material adverse effect on our business, financial condition and results of operations. During the six months ended June 30, 2026, substantially all affected products were returned, and credits were issued to customers. We recorded approximately $734,000 as a reduction of revenue related to these returns and approximately $612,000 of inventory impairment associated with the recall.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Workforce Reduction Initiative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we commenced implementation of a workforce reduction as part of a broader initiative to reduce our operating expenses, improve operational efficiency and better align our resources with our strategic priorities. The workforce reduction is expected to reduce the number of positions in the organization by almost 20%. We expect the initiative to result in annualized operating expense savings of approximately $9.0 million, primarily through reduced personnel-related expenses resulting from both the elimination of certain employee positions and the decision not to fill certain currently vacant positions. These estimates are based on management’s current expectations regarding personnel reductions and hiring plans, and actual cost savings may differ from those currently anticipated.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aggregate restructuring charges of approximately $0.9 million to $1.2 million, consisting primarily of employee severance and related employee termination costs. Because the workforce reduction was initiated after June 30, 2026, no liability associated with these actions was recorded in the accompanying consolidated financial statements as of June 30, 2026.</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workforce reduction to be substantially completed by the end of the third quarter of 2026. Actual costs incurred may differ from current estimates. We expect these actions to better align our resources with key product development, regulatory, clinical and commercialization priorities while reducing our overall operating expense 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Our critical accounting policies are more fully described in both (i) “Item 7. Management’s Discussion and Analysis of Financial Condition and Results of Operations” and (ii) Note 2 of the Notes to the Consolidated Financial Statements included in the Annual Report on Form 10-K for the year ended December 31, 2025. There have not been any material changes to such critical accounting policies since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of the primary economic environment in which our operations are conducted is the U.S. dollar (“$” or “dollar”).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June 30, 2026, compared to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For the three months ended June 30, 2026, revenue was $1,771,000, a decrease of $7,000, or 0.4 %, compared to $1,778,000 during the three months ended June 30, 2025. The decrease was primarily attributable to the net impact of $734,000 of credits issued in connection with the voluntary recall of CGuard Prime products in the U.S. in May 2026, which offset revenues generated from direct sales of the CGuard Prime product in the U.S., and continued growth in sales of the CGuard product through distributors in international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geographical regions, U.S. revenue was $(351,000) for the three months ended June 30, 2026, compared to $27,000 for the three months ended June 30, 2025. The decrease of $378,000 in the U.S., was primarily due to the aforementioned credits issued in connection with the voluntary recall of CGuard Prime products. This decrease was partially offset by 21% growth in international markets, with international revenue increasing to $2,122,000 for the three months ended June 30, 2026, compared to $1,751,000 for the three months ended June 30, 2025, including increases of $128,000 in Europe, $176,000 in Latin America and $67,000 in all other regions, reflecting continued growth in demand in these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 (Loss)</w:t>
      </w:r>
      <w:r>
        <w:rPr>
          <w:rFonts w:ascii="Times New Roman;Times;Serif" w:hAnsi="Times New Roman;Times;Serif"/>
          <w:b w:val="false"/>
          <w:i w:val="false"/>
          <w:caps w:val="false"/>
          <w:smallCaps w:val="false"/>
          <w:sz w:val="20"/>
        </w:rPr>
        <w:t>. For the three months ended June 30, 2026, gross loss (revenue less cost of revenues) was $774,000 compared to gross profit of $313,000 for the three months ended June 30, 2025. The decrease in gross profit was primarily attributable to the voluntary recall of CGuard Prime products in the U.S., including the net credits of $734,000 issued to customers, which reduced revenues, and approximately $612,000 of inventory impairment associated with CGuard Prime inventory, which increased 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represents our gross profit or loss as a percentage of revenue. Gross margin was negative 43.7% for the three months ended June 30, 2026, a decrease of 61.3 percentage points compared to gross margins of 17.6% for the three months ended June 30, 2025, primarily due to the factors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For the three months ended June 30, 2026, research and development expenses were $4,295,000, an increase of $461,000, or 12%, compared to $3,834,000 during the three months ended June 30, 2025. This increase resulted primarily from higher development and clinical expenses for the SwitchGuard NPS and CGuard Prime 80 cm carotid stent system, regulatory activity related to the PMA for CGuard NPS, and redesign work for the CGuard Prime 135 cm.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and Marketing Expenses</w:t>
      </w:r>
      <w:r>
        <w:rPr>
          <w:rFonts w:ascii="Times New Roman;Times;Serif" w:hAnsi="Times New Roman;Times;Serif"/>
          <w:b w:val="false"/>
          <w:i w:val="false"/>
          <w:caps w:val="false"/>
          <w:smallCaps w:val="false"/>
          <w:sz w:val="20"/>
        </w:rPr>
        <w:t>. For the three months ended June 30, 2026, selling and marketing expenses were $5,221,000, an increase of $1,049,000, or 25.1%, compared to $4,172,000 during the three months ended June 30, 2025. This increase resulted primarily from higher commercial staffing levels following the commercial launch of CGuard Prime in the U.S. in July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For the three months ended June 30, 2026, general and administrative expenses were $4,155,000, a decrease of $1,171,000, or 22%, compared to $5,326,000 during the three months ended June 30, 2025. The decrease was primarily driven by lower compensation expenses, mainly due to severance costs related to our former chief financial officer’s retirement that were recognized in the three months ended June 30, 2025, and lower share-based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Income</w:t>
      </w:r>
      <w:r>
        <w:rPr>
          <w:rFonts w:ascii="Times New Roman;Times;Serif" w:hAnsi="Times New Roman;Times;Serif"/>
          <w:b w:val="false"/>
          <w:i w:val="false"/>
          <w:caps w:val="false"/>
          <w:smallCaps w:val="false"/>
          <w:sz w:val="20"/>
        </w:rPr>
        <w:t>. For the three months ended June 30, 2026, financial income was $121,000 compared to financial expense of $132,000 during the three months ended June 30, 2025, representing a decline in the financial expense of $253,000, or 191.7%. The increase in financial income primarily resulted from higher income from investment in marketable securities and money market funds and lower financial expenses related to changes in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Expenses.</w:t>
      </w:r>
      <w:r>
        <w:rPr>
          <w:rFonts w:ascii="Times New Roman;Times;Serif" w:hAnsi="Times New Roman;Times;Serif"/>
          <w:b w:val="false"/>
          <w:i w:val="false"/>
          <w:caps w:val="false"/>
          <w:smallCaps w:val="false"/>
          <w:sz w:val="20"/>
        </w:rPr>
        <w:t xml:space="preserve"> We did not incur any tax expenses during the three months ended June 30, 2026 and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w:t>
      </w:r>
      <w:r>
        <w:rPr>
          <w:rFonts w:ascii="Times New Roman;Times;Serif" w:hAnsi="Times New Roman;Times;Serif"/>
          <w:b w:val="false"/>
          <w:i w:val="false"/>
          <w:caps w:val="false"/>
          <w:smallCaps w:val="false"/>
          <w:sz w:val="20"/>
        </w:rPr>
        <w:t>. For the three months ended June 30, 2026, our net loss was $14,324,000, an increase of $1,173,000, or 8.9%, compared to $13,151,000 during the three months ended June 30, 2025. The increase in net loss resulted primarily from a decrease in gross profit of $1,087,000 and an increase in total operating expenses of $339,000, partially offset by an increase in financial income of $253,000 compared to the prior-year period.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 months ended June 30, 2026, compared to the six months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For the six months ended June 30, 2026, revenue was $5,169,000, an increase of $1,862,000, or 56.3%, compared to $3,307,000 during the six months ended June 30, 2025. The increase was driven mainly by direct sales of the CGuard Prime product in the U.S. and continued growth in sales of the CGuard product through distributors in international markets. The increase was partially offset by $734,000 of credits issued in connection with the voluntary recall of CGuard Prime products in the U.S. during the six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geographical regions, U.S. revenue was $827,000 for the six months ended June 30, 2026, compared to $54,000 for the six months ended June 30, 2025. The increase of approximately $772,000 was driven by commercial sales of CGuard Prime, partially offset by credits issued in connection with the voluntary recall of CGuard Prime in May 2026. International revenue was $4,342,000 for the six months ended June 30, 2026, compared to $3,253,000 for the six months ended June 30, 2025. Revenue from international markets grew by $1,089,000, or 33%, including $557,000 in Europe, $348,000 in Latin America and $184,000 in all other regions. The international sales performance reflects continued growth in demand in these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loss</w:t>
      </w:r>
      <w:r>
        <w:rPr>
          <w:rFonts w:ascii="Times New Roman;Times;Serif" w:hAnsi="Times New Roman;Times;Serif"/>
          <w:b w:val="false"/>
          <w:i w:val="false"/>
          <w:caps w:val="false"/>
          <w:smallCaps w:val="false"/>
          <w:sz w:val="20"/>
        </w:rPr>
        <w:t>. For the six months ended June 30, 2026, gross loss (revenue less cost of revenues) was $87,000 compared to gross profit of $605,000 for the six months ended June 30, 2025. The decrease in gross profit was primarily attributable to the voluntary recall of CGuard Prime products in the U.S., including $734,000 in net credits issued to customers, which reduced revenues, as well as inventory impairment and inventory obsolescence charges of a combined $1,085,000 related to our CGuard Prime delivery system, which increased cost of revenues. These impacts were partially offset by the increase in revenue year-over-year.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represents our gross profit or loss as a percentage of revenue. Gross margin was negative 1.7% for the six months ended June 30, 2026, a decrease of 20.0 percentage points compared to gross margin of 18.3% for the six months ended June 30, 2025, primarily due to the factors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For the six months ended June 30, 2026, research and development expenses were $9,058,000, an increase of $1,165,000, or 14.8%, compared to $7,893,000 during the six months ended June 30, 2025. The increase was primarily driven by higher clinical trial expenses related to the initiation of the CGUARDIANS III pivotal trial and higher compensation expenses due to the hiring of new employees in connection with our expansion in the United States. These increases were partially offset by lower clinical trial expenses due to the completion of the CGUARDIANS I and CGUARDIANS II pivotal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and Marketing Expenses</w:t>
      </w:r>
      <w:r>
        <w:rPr>
          <w:rFonts w:ascii="Times New Roman;Times;Serif" w:hAnsi="Times New Roman;Times;Serif"/>
          <w:b w:val="false"/>
          <w:i w:val="false"/>
          <w:caps w:val="false"/>
          <w:smallCaps w:val="false"/>
          <w:sz w:val="20"/>
        </w:rPr>
        <w:t>. For the six months ended June 30, 2026, selling and marketing expenses were $10,401,000, an increase of $3,479,000, or 50.3%, compared to $6,922,000 during the six months ended June 30, 2025. This increase resulted primarily from higher commercial staffing levels following the commercial launch of CGuard Prime in the U.S. in July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For the six months ended June 30, 2026, general and administrative expenses were $8,877,000, a decrease of $1,392,000, or 13.6%, compared to $10,269,000 during the six months ended June 30, 2025. The decrease was primarily driven by lower compensation expenses, mainly due to severance costs related to our former chief financial officer’s retirement that were recognized in the six months ended June 30, 2025, and lower share-based compensation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Income</w:t>
      </w:r>
      <w:r>
        <w:rPr>
          <w:rFonts w:ascii="Times New Roman;Times;Serif" w:hAnsi="Times New Roman;Times;Serif"/>
          <w:b w:val="false"/>
          <w:i w:val="false"/>
          <w:caps w:val="false"/>
          <w:smallCaps w:val="false"/>
          <w:sz w:val="20"/>
        </w:rPr>
        <w:t>. For the six months ended June 30, 2026, financial income was $410,000, an increase of $248,000, or 153.1%, compared to $162,000 during the six months ended June 30, 2025. The increase in financial income primarily resulted from higher income from investment in marketable securities and money market funds and lower financial expenses related to changes in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Expenses.</w:t>
      </w:r>
      <w:r>
        <w:rPr>
          <w:rFonts w:ascii="Times New Roman;Times;Serif" w:hAnsi="Times New Roman;Times;Serif"/>
          <w:b w:val="false"/>
          <w:i w:val="false"/>
          <w:caps w:val="false"/>
          <w:smallCaps w:val="false"/>
          <w:sz w:val="20"/>
        </w:rPr>
        <w:t xml:space="preserve"> For the six months ended June 30, 2026, there was no material change in our tax expenses as compared to the six months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w:t>
      </w:r>
      <w:r>
        <w:rPr>
          <w:rFonts w:ascii="Times New Roman;Times;Serif" w:hAnsi="Times New Roman;Times;Serif"/>
          <w:b w:val="false"/>
          <w:i w:val="false"/>
          <w:caps w:val="false"/>
          <w:smallCaps w:val="false"/>
          <w:sz w:val="20"/>
        </w:rPr>
        <w:t>. For the six months ended June 30, 2026, our net loss was $28,013,000, an increase of $3,696,000, or 15.2%, compared to $24,317,000 during the six months ended June 30, 2025. The increase in net loss resulted primarily from a decrease in gross profit and an increase in total operating expenses, partially offset by an increase in financial income compared to the prior-year period.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an accumulated deficit as of June 30, 2026, of $330 million, as well as a net loss of $28 million for the six months ended June 30, 2026 and negative operating cash flows. We expect to continue incurring losses and negative cash flows from operations until we expand our commercial revenue to a scale that funds our commercial resources, development activities and support functions. As a result of these expected losses and negative cash flows from operations, along with our current cash position, we believe we do not have sufficient resources to fund operations for at least the next 12 months. Therefore, there is substantial doubt about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include continued commercialization of our products and raising capital through sale of additional equity securities, debt or capital inflows from strategic partnerships and exercise of warrants. There are no assurances, however, that we will be successful in obtaining the level of financing needed for our operations. If we are unsuccessful in commercializing our products or raising capital, we may need to reduce activities, curtail or cease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we closed a private placement offering that resulted in aggregate gross proceeds of approximately $42.2 million, before deducting fees payable to the placement agent and other offering expenses payable by us, pursuant to which we issued and sold 10,266,270 shares of our common stock, pre-funded warrants to purchase up to 15,561,894 shares of common stock and warrants to purchase up to an aggregate of 51,656,328 shares of common stock, consisting of Series H warrants to purchase up to 12,914,086 shares of common stock (the “Series H Warrants”), Series I warrants to purchase up to 12,914,078 shares of common stock (the “Series I Warrants”), Series J warrants to purchase up to 12,914,086 shares of Common Stock (the “Series J Warrants”) and Series K warrants to purchase up to 12,914,078 shares of common stock (the “Series K Warrants” and together with the Series H Warrants, Series I Warrants and Series J Warrants, the “May 2023 Warrants”), at an offering price of $1.6327 per Private Placement Share and associated May 2023 Warrants and an offering price of $1.6326 per pre-funded warrant and associated May 2023 Warrants. If the May 2023 Warrants are exercised in cash in full this would result in an additional $71.4 million of gross proceeds (of which approximately $33.8 million has been received as of the date of this Quarterly Report on Form 10-Q). There can be no assurance that we will achieve any of the remaining milestones set forth in the outstanding May 2023 Warrants or that the outstanding May 2023 Warrants will be exercised in cash in full. The exercise price of the outstanding May 2023 Warrants is $1.3827 per share. The Series J Warrants expire 20 trading days after FDA approval of SwitchGuard and CGuard Prime 80 cm, while the Series K Warrants expire on October 28, 2026, which is 20 trading days after the end of the fourth fiscal quarter following the commencement of first U.S. commercial sales of CGuard Prime in July 2025. The last reported sale price of our shares of common stock on August 13, 2026 was $0.8401 per share. We believe that the likelihood that warrant holders will exercise their outstanding May 2023 Warrants, and therefore the amount of cash proceeds we would receive, is dependent upon the trading price of our shares of common stock. If the trading price of our shares of common stock is less than $1.3827 per share, we believe that warrant holders will be unlikely to exercise their outstanding May 2023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announcement of the one year follow up study results from the Company’s C-GUARDIANS trial, the Series H Warrants were exercised in full into 292,996 shares of common stock and pre-funded warrants to purchase 12,621,090 shares of common stock. The net proceeds from the exercise of the Series H Warrants were $16.9 million after deducting placement agent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announcement of the PMA approval of the CGuard Prime carotid stent system in the United States, the Series I warrants were exercised in full into 2,352,393 shares of common stock and pre-funded warrants to purchase 10,561,685 shares of common stock during June and July 2025. The net proceeds from the exercise of the Series I Warrants were $16.9 million after deducting placement agent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we entered into an Equity Distribution Agreement (the “2024 Distribution Agreement”) with Piper Sandler &amp; Co., as sales agent (“Piper Sandler”). Pursuant to the 2024 Distribution Agreement, we were able to offer and sell from time to time, at our option, through or to Piper Sandler shares of our common stock having an aggregate offering price of up to $75 million. We paid Piper Sandler a commission at a fixed rate of 3.0% of the aggregate gross proceeds from each sale of the shares under the 2024 Distribution Agreement. On April 3, 2026, we terminated the 2024 Distribution Agreement in connection with our entry into the 2026 Distribution Agreement (as defined below) with BTIG (as defined below). During the first half of 2026, we did not sell any shares pursuant to the 2024 Distribution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we closed the private placement offering that resulted in aggregate gross proceeds of approximately $40.1 million, before deducting fees payable to the placement agent and other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we entered into an Equity Distribution Agreement (the “2026 Distribution Agreement”) with BTIG, LLC, as sales agent (“BTIG”). Pursuant to the 2026 Distribution Agreement, we may offer and sell from time to time, at our option, through or to BTIG shares of our common stock having an aggregate offering price of up to $75 million. We will pay BTIG a commission at a fixed rate of up to 3.0% of the aggregate gross proceeds from each sale of the shares under the 2026 Distribution Agreement. As of the date hereof, we have not sold any shares pursuant to the 2026 Distribution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 months ended June 30, 2026, compared to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xml:space="preserve"> As of June 30, 2026, we had cash and cash equivalents of $15,149,000 and marketable securities of $15,272,000 as compared to cash and cash equivalents of $8,939,000 and marketable securities of $45,272,000 as of December 31, 2025. We have historically met our cash needs through a combination of issuing new shares, borrowing activities and product sales. Our cash requirements are generally for research and development, marketing and sales activities, finance and administrative costs, capital expenditures and general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our operating activities increased by $6,107,000, or 35.7%, to $23,232,000, from $17,125,000 during the same period in 2025. The primary reasons for the increase in cash used in our operating activities were an increase of $6,741,000 in compensation costs paid during the six months ended June 30, 2026 (from $11,474,000 in the six months ended June 30, 2025 to $18,215,000 in the six months ended June 30, 2026), an increase of $1,937,000 in payments to vendors, clinical service providers and other professional service providers, offset by an increase of $2,617,000 in payments received from customers during the six months ended June 30, 2026 (from $3,380,000 in the six months ended June 30, 2025 to $5,997,000 during the six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our investing activities was $29,432,000 during the six months ended June 30, 2026, compared to $7,024,000 during the six months ended June 30, 2025. The primary reason for the increase in cash provided by our investing activities is withdrawal of $30,000,000 from our investment in marketable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cash provided by financing activities for the six months ended June 30, 2026. Cash provided by financing activities for the six months ended June 30, 2025, was $2,643,000. The source of the cash provided by financing activities during the six months ended June 30, 2025, were the proceeds from exercise of Series I warrants of $1,947,000, and proceeds from issuance of shares of $696,000, net of issuance costs, received from our ATM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off-balance sheet transactions, arrangements, obligations (including contingent obligations) or other relationships with unconsolidated entities or other persons that have, or may have, a material effect on our financial condition, changes in financial condition, revenues or expenses, results of operations, liquidity, capital expenditures or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That May Affect Future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future operating results will continue to be subject to quarterly variations based upon a wide variety of factors, including the market acceptance of the U.S. commercial launch, cyclical nature of the ordering patterns of our distributors, timing of regulatory approvals, the implementation of various phases of our clinical trials, manufacturing efficiencies due to the learning curve of utilizing new materials and equipment and the costs or other consequences associated with any current or future product recall that may occur. Product recalls in particular have adversely affected and may continue to adversely affect our operating results through the direct costs of executing a recall, lost revenues resulting from the removal of affected products from the market and the interruption of sales during any remediation period, costs associated with redesigning and remanufacturing affected products, potential regulatory, litigation and other legal costs, and longer-term reputational harm that may reduce market acceptance of our current and future products. Our operating results could also be impacted by a weakening of the Euro and strengthening of the NIS, both against the U.S. dollar. Lastly, other economic conditions we cannot foresee may affect customer demand, such as individual country reimbursement policies pertaining to our products.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there were no material changes to our contractual obligations and commitments since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and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 to our condensed financial statements in Part I, Item 1 of this Quarterly Report on Form 10-Q for new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Conclusions Regarding Effectiveness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conducted an evaluation, under the supervision and participation of management including our chief executive officer and chief financial officer, of the effectiveness of our disclosure controls and procedures (as defined in Rule 13a-15(e) and Rule 15d-15(e) of the Securities Exchange Act of 1934, as amended). There are inherent limitations to the effectiveness of any system of disclosure controls and procedures. Accordingly, even effective disclosure controls and procedures can only provide reasonable assurance of achieving their control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this evaluation, our chief executive officer and chief financial officer concluded that our disclosure controls and procedures are effective at the reasonable assurance level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during the fiscal quarter ended June 30, 2026, that materially affected, or are reasonably likely to materially affect, our internal control over financial reporting.</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There are currently no pending material legal proceedings, and we are currently not aware of any legal proceedings or claims against us or our property that we believe will have any significant effect on our business, financial position 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1A. Risk Factors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in this Item 1A and the Risk Factors included in our previous filings made with the SEC, there have been no material changes to our risk factors from those disclosed in “Part I. Item 1A. Risk Factors” in the Form 10-K filed with the SEC on March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has concluded that there is substantial doubt about our ability to continue as a going concern, and our condensed financial statements for the quarter ended June 30, 2026 includes an explanatory paragraph as to our ability to continue as a going concern, which could prevent us from obtaining new financing on reasonable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had recurring losses and negative cash flows from operating activities, substantial doubt exists regarding our ability to remain as a going concern at the same level at which we are currently performing. Accordingly, our condensed financial statements for the quarter ended June 30, 2026 includes an explanatory paragraph as to our potential inability to continue as a going concern. The doubts regarding our potential ability to continue as a going concern may adversely affect our ability to obtain new financing on reasonable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has established certain standards for the continued listing of a security on the Nasdaq Capital Market. The standards for continued listing include, among other things, that the minimum bid price for the listed securities not fall below $1.00 per share for a period of 30 consecutive trading days and that we maintain a minimum of $2,500,000 in stockholders’ equity and a market value of listed securities of at least $5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we received a notification letter, or the Notification Letter, from the Nasdaq Listing Qualifications notifying us that we are not in compliance with the minimum bid price requirements set forth in Nasdaq Listing Rule 5550(a)(2), or the Rule, for continued listing on The Nasdaq Capital Market. The Notification Letter provides that we have 180 calendar days, or until January 13, 2027, to regain compliance with the Rule. To regain compliance, the bid price of our common stock must have a closing bid price of at least $1.00 per share for a minimum of 10 consecutive business days. In the event we do not regain compliance by January 13, 2027, we may then be eligible for an additional 180 days if we meet the continued listing requirement for market value of publicly held shares and all other initial listing standards for The Nasdaq Capital Market, with the exception of the bid price requirement, and will need to provide written notice of our intention to cure the deficiency during the second compliance period. If we do not qualify for the second compliance period or fail to regain compliance during the second compliance period, then Nasdaq will notify us of its determination to delist our common stock, at which point we will have an opportunity to appeal the delisting determination to a Hearings Panel.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we will be able to regain compliance with the Rule. Failure to meet applicable Nasdaq continued listing standards could result in a delisting of our common stock.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restructuring and the associated workforce reduction may not result in anticipated savings, could result in total costs and expenses that are greater than expected and could disrupt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to implement a restructuring plan that includes a reduction in our workforce, and we expect to continue to implement this plan. We may incur additional expenses not currently contemplated due to events associated with the reduction in force, and our restructuring activities may subject us to reputational risks and litigation risks and expenses.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In addition, to the extent we do not realize such anticipated operational efficiencies, we may need to undertake additional workforce reductions or restructuring activities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restructuring plan may be disruptive to our operations. For example, our workforce reductions could yield unanticipated consequences, such as attrition beyond planned staff reductions, increased difficulties in our day-to-day operations and reduced employee morale. The changes to our operations and the reduction in workforce may yield unintended consequences and costs, such as the loss of institutional knowledge and expertise, attrition beyond our intended reductions in force, and a reduction in morale among our remaining employees, all of which may have an adverse effect on our business, results of operations or financial condition. If employees who were not affected by the reductions in force seek alternative employment, this could result in our seeking contractor support at unplanned additional expense or harm our productivity. Any employee litigation related to the headcount reduction could be costly and prevent management from fully concentrating on the business.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workforce reductions could also harm our ability to attract and retain qualified management, scientific, technical, and manufacturing personnel who are critical to our business. For example, the workforce reduction may negatively impact our regulatory, technical operations, and commercial functions, which would have a negative impact on our ability to successfully develop, and ultimately, commercialize our products. We may also discover that the reductions in workforce could make it difficult for us to pursue new opportunities and initiatives and require us to hire qualified replacement personnel, which may require us to incur additional and unanticipated costs and expenses. Our future financial performance and our ability to develop our products or additional assets will depend, in part, on our ability to effectively manage any future growth or restructuring, as the case may be. Our failure to successfully accomplish any of the above activities and goals may have a material adverse impact on our business, results of operations and financial condition.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have and may in the future be subject to product notifications, recalls, or voluntary market withdrawals that could harm our reputation, business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regulatory approval has been obtained for medical device products, the product and the manufacturer are subject to continual review, including the review of adverse events and clinical results that are reported after our products are made available to patients, and there can be no assurance that such approval will not be withdrawn or restricted. Regulators may also subject approvals to restrictions or conditions or impose post-approval obligations on the holders of these approvals, and the regulatory status of such products may be jeopardized if such obligations are not fulfilled. If post-approval studies are required, such studies may involve significant time and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and marketing of medical devices involves an inherent risk that our products may prove to be defective and cause a health risk even after regulatory clearances have been obtained. The FDA and similar governmental authorities in other countries have the authority to require the recall of commercialized products in the event of material regulatory deficiencies or defects in design or manufacture. Medical devices may also be modified after regulatory clearance is obtained to such an extent that additional regulatory clearance is necessary before the device can be further marketed. In these events, we may voluntarily implement a recall or market withdrawal or may be required to do so by a regulatory authority. For example, in May 2026, we announced a voluntary recall in the U.S. of CGuard Prime, initiated in consultation with the FDA. This decision followed our determination during controlled launch that the technical success of the delivery system during CAS procedures had not met performance expectations. Such recall, and any recalls in the future, could result in significant current and future costs and other negative impacts associated with such recalls (including inventory write-off costs, refunds), loss of revenues, sales or customers, potential actions by regulators or other governmental entities, potential claims and lawsuits by customers and patients (including class action product liability litigation), other operational impacts and consequences such as business disruption, loss of personnel and distraction of management or other key employees, the restatement of previously issued financial statements, inability to raise capital, as well as negative publicity and damage to our reputation, which could have a material adverse impact on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European Economic Area, we must comply with the medical device vigilance system under Regulation (EU) 2017/745 on medical devices, or the MDR. Under this system, manufacturers are generally required to report serious incidents involving medical devices via an electronic system incorporated into the EU database on medical devices, called EUDAMED. Furthermore, manufacturers are required to take Field Safety Corrective Actions (“FSCAs”) to reduce a risk of death or serious deterioration in the state of health associated with the use of a medical device that is already placed on the market. An FSCA may include the recall, modification, exchange, destruction or retrofitting of the device. FSCAs must be communicated by the manufacturer or its legal representative to its customers and/or to the end users of the device through Field Safety Notices. FSCAs must be reported to the relevant competent authorities, even if the FSCA was undertaken in a third country in relation to a device which is also legally made available on the Union market and the reason for the FSCA is not limited to the device made available in the third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event involving our products could result in other future voluntary corrective actions, such as recalls or customer notifications, or agency action, such as inspection or enforcement action. Adverse events have been reported to us in the past, and we cannot guarantee that they will not occur in the future. Any corrective action, whether voluntary or involuntary, as well as defending ourselves in a lawsuit, would require the dedication of our time and capital, distract management from operating our business and could harm our reputation and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Defects or failures associated with our products have led to recalls, and could lead to additional recalls, safety alerts or litigation, as well as significant costs and negative publicity.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significant risks associated with the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could result in significant costs, negative publicity and adverse competitive pressure. For example, in May 2026, we announced a voluntary recall in the U.S. of CGuard Prime, initiated in consultation with the FDA. This decision followed our determination during controlled launch that the technical success of the delivery system during CAS procedures had not met performance expectations. The circumstances giving rise to recalls are unpredictable, and any recalls of existing or future products increase the probability of inspection by, or additional scrutiny from, the FDA and could have a material adverse effect on our business, financial condition and results of operations.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device industry has historically been subject to extensive litigation over product liability claims. Operating in the area of the neck with the brain as the end organ is dangerous and presents risks of adverse events such as bleeding, arterial dissection, cranial nerve injury, myocardial infarction, stroke and death, which subject us to a greater risk of being involved in litigation than companies with products used in less critical areas of the body. We may be subject to product liability claims if our products cause, or merely appear to have caused, an injury or death, even if due to physician error. In addition, an injury or death that is caused by the activities of our suppliers, such as those that provide us with components and materials, or by an aspect of a treatment used in combination with our products, such as a complementary drug or anesthesia, may be the basis for a claim against us by patients, hospitals, physicians or others purchasing or using our products, even if our products were not the actual cause of such injury or death. We may choose to settle any claims to avoid fault and complication, not due to failure of our products. An adverse outcome involving one of our products could result in reduced market acceptance and demand for all of our products and could harm our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adverse event reports under MDR and regulations with the FDA, which reports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products we develop receive marketing approval, we or others may later discover that the product is less effective than previously believed or causes undesirable side effects that were not previously identified, which could compromise our ability or that of any collaborators to market the product, and could cause regulatory authorities to take certain regulatory actions, which could harm our commercial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our clinical trials may indicate an apparent positive effect of a product that is greater than the actual positive effect, if any, or alternatively fail to identify undesirable side effects. For example, we, or others, may discover that our products are less safe and effective than previously believed. If, we, or others, discover that a product is less effective than previously believed or causes undesirable side effects that were not previously identified, any of the following adverse events could occur: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their approval of the product or seize the product;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of our collaborators, may be required to recall the product, change the way the product is administered or conduct additional clinical trials;</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restrictions may be imposed on the marketing of, or the manufacturing processes of, the particular product;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of our collaborators, may be subject to fines, injunctions or the imposition of civil or criminal penalties;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a “black box” warning or a contraindication including with the product;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of our collaborators, may be required to create a Medication Guide outlining the risks of the previously unidentified side effects for distribution to patients;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physicians and patients may stop using our product;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harm our business and operations and could negatively impact our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in May 2026, we announced a voluntary recall in the U.S. of CGuard Prime, initiated in consultation with the FDA. This decision followed our determination during controlled launch that the technical success of the delivery system during CAS procedures had not met performance expectations. Such recall, and any recalls in the future, could result in significant current and future costs and other negative impacts associated with such recalls (including inventory write-off costs, refunds), loss of revenues, sales or customers, potential actions by regulators or other governmental entities, potential claims and lawsuits by customers and patients (including class action product liability litigation), other operational impacts and consequences such as business disruption, loss of personnel and distraction of management or other key employees, or the restatement of previously issued financial statements, inability to raise capital, as well as negative publicity and damage to our reputation, which could have a material adverse impact on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modifications to our products may require new 510(k) clearances, premarket approval, or CE Marks, or may require us to recall or cease marketing our products until new clearances or approvals are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modifications to the intended use or technological characteristics of our products will require new 510(k) clearances, premarket approvals (“PMA”) by the FDA or CE Marks under the EU Medical Device Regulation (“MDR”) prior to implementing the modifications, or require us to recall or cease marketing the modified devices until these clearances or approvals are obtained. Furthermore, changes to our manufacturing facility or supplier of components used in our products require prior FDA approval of a PMA supplement. The FDA requires device manufacturers to initially make and document a determination of whether or not a modification requires a new approval, supplement or clearance; however, the FDA can review a manufacturer’s decision. Any modification to an FDA cleared device that would significantly affect its safety or effectiveness or that would constitute a major change in its intended use would require a new 510(k) clearance or approval of a PMA supplement. We may not be able to obtain additional 510(k) clearances or premarket approvals for new products or for modifications to, or additional indications for, our products in a timely fashion, or at all. Delays in obtaining required future clearances would harm our ability to introduce new or enhanced products in a timely manner, which in turn would harm our future growth. We have made modifications to our products in the past that we believe do not require additional clearances or approvals, and we may make additional modifications in the future. If the FDA or an EU Notified Body disagrees and requires new clearances or approvals for any of these modifications, we may be required to recall and to stop selling or marketing our products as modified, which could harm our operating results and require us to redesign our products. In these circumstances, we may be subject to significant enforcement actions. In response to the voluntary recall in the U.S. of CGuard Prime, initiated in consultation with the FDA in May 2026, we intend to implement design improvements to CGuard Prime. However, there can be no assurance that such design improvements will be sufficient to obtain FDA approval, or that any such approval will be obtained in a timely manner, if at all.</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bear the risk of warranty claims on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bear the risk of warranty claims on our products. We may not be successful in claiming recovery under any warranty or indemnity provided to us by our suppliers or vendors in the event of a successful warranty claim against us by a customer, and any recovery from such supplier or vendor may not be adequate. Furthermore, we may not have any, or have an adequate, warranty provided by our supplier. In addition, warranty claims brought by our customers related to third-party components may arise after our ability to bring corresponding warranty claims against such suppliers expires, which could result in costs to us. In addition, we have been, and in the future could be, subject to costs related to product recalls, and we could incur significant costs to correct any defects, warranty claims or other problems. Any such events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trade policy, including tariff and customs regulations, or failure to comply with such regulations may have an adverse effect on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or international social, political, regulatory and economic conditions or in laws and policies governing trade, manufacturing, development and investment in the countries where we currently conduct our business could adversely affect our business, reputation, financial condition and results of operations. Changes or proposed changes in U.S. or other countries’ trade policies may result in restrictions and economic disincentives on international trade.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manufacture, package and distribute all of our products, including CGuard Prime, which we commercially launched in July 2025 following FDA approval of the PMA in June 2025, at our own facility in Israel. To support our anticipated production growth following the commercialization of CGuard Prime, we have engaged Aptyx to expand our manufacturing capacity of CGuard Prime finished goods to full-scale production at their ISO Class 7 cleanroom facility in North Carolina. While we are in the process of establishing manufacturing operations in the United States with Aptyx, this transition will take time, and until it is operational, we expect to rely entirely on product shipments from Israel to the U.S.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government has recently adopted, proposed and considered a variety of tariff measures and other trade restrictions affecting imports from numerous countries, and additional changes to U.S. trade policy remain under active consideration. The implementation, modification, suspension, expiration, extension or judicial review of existing or proposed tariffs and trade measures has created and may continue to create significant uncertainty for companies engaged in international manufacturing and cross-border commerce. In addition, new investigations under U.S. trade laws, changes to customs rules, import restrictions, sanctions or other trade-related measures could result in additional duties, restrictions or compliance obligations affecting imported products and components.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currently manufacture our products in Israel and remain dependent on shipments from Israel to serve the U.S. market while we continue efforts to expand manufacturing capacity in the United States, changes in tariffs, customs duties, import regulations or other trade measures applicable to products imported into the United States could increase our costs, reduce our margins, disrupt our supply chain, adversely affect customer demand or require us to modify our manufacturing, sourcing or distribution strategies. We cannot predict the scope, duration or outcome of current or future trade actions, related legal challenges, or any retaliatory measures by affected countries. Any of these developments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Tariffs, economic sanctions and other changes in U.S. trade policy have in the past and could in the future trigger retaliatory actions by affected countries, and certain foreign governments have instituted or are considering imposing retaliatory measures on certain U.S. goods. Further, any emerging protectionist or nationalist trends (whether regulatory- or consumer-driven) either in the United States or in other countries could affect the trade environment. Our business, like many other corporations, would be impacted by changes to the trade policies of the United States and foreign countries (including governmental action related to tariffs, international trade agreements, or economic sanctions). We cannot predict whether, and to what extent, trade policies will change in the future. If tariffs or other trade restrictions are imposed on products manufactured in Israel while we remain dependent on Israeli manufacturing, our cost of goods sold for the U.S. market may increase materially, which could negatively impact our gross margins and limit our pricing flexibility. Additionally, changes to trade agreements or customs regulations between the U.S. and Israel could increase lead times, introduce logistical complexities, or require modifications to our supply chain planning. These or similar trade-related developments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there are significant shifts in the political, economic and military conditions in Israel and its neighbors, it could have a material adverse effect on our business operations and ability to reach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incorporated in the State of Delaware and our headquarters are in Miami, Florida, our current manufacturing facility, certain of our key personnel and one of our offices are located in Israel. Our business is directly affected by the political, economic and military conditions in Israel and its neighbors. Since the establishment of the State of Israel in 1948, a number of armed conflicts have occurred between Israel and its neighboring countries and terrorist organizations active in the region, including Iran, Hamas (an Islamist terrorist militia and political group that controls the Gaza strip), Hezbollah (an Islamist terrorist militia and political group based in Lebanon) and other terrorist organizations active in the region. These conflicts have involved missile strikes, hostile infiltrations and terrorism against civilian targets in various parts of Israel, which have negatively affected business conditions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Iran is also believed to have a strong influence among extremist groups in the region, such as Hamas in Gaza, Hezbollah in Lebanon, the Houthi movement in Yemen and various rebel militia groups in Syria and Iraq. On October 7, 2023, Hamas launched a series of attacks on civilian and military targets in Southern Israel and Central Israel, to which the Israel Defense Forces responded. On October 9, 2025, Israel, Hamas, the United States and other countries in the region agreed to a framework for a ceasefire in Gaza between Israel and Hamas.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Hezbollah and the Houthi movement attacked military and civilian targets in Israel, to which Israel responded, including through increased air and ground operations in Lebanon. In addition, the Houthi movement attacked international shipping lanes in the Red Sea, to which both Israel and the United States responded. While a ceasefire was brokered between Israel and Hezbollah in November 2024, in March 2026, hostilities resumed along Israel’s northern border with Lebanon, when Hezbollah resumed its attacks as part of a broader regional escalation. In response, Israel resumed military operations against Hezbollah in Lebanon.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 April 2024 and October 2024, Iran launched a series of drone and missile strikes against Israel, to which Israel responded. In addition, in response to ongoing Iranian aggression and support of proxy attacks against Israel, on June 13, 2025, Israel conducted a series of preemptive defensive air strikes in Iran targeting Iran’s nuclear program and military commanders. While a ceasefire was reached in June 2025 following 12 days of hostilities, on February 28, 2026, the United States and Israel launched coordinated military strikes against Iran, including attacks on strategic military infrastructure and leadership targets, with the stated aim of degrading Iran’s capacity to conduct or support hostile operations against them. In response, Iran has fired missiles and drones toward population centers and military installations in Israel, Europe and neighboring countries in the Gulf region, and also launched counter-strikes against U.S. forces and allied bases throughout the Gulf region. Although the United States and Iran have announced ceasefire and de-escalation arrangements from time to time, including a memorandum of understanding entered into on June 17, 2026 that contemplates the termination of military operations on multiple fronts, hostilities have resumed and may continue or escalate. A broader regional conflict involving additional state and non-state actors remains a significant risk. How long and how severe the conflicts in Gaza, Northern Israel, Lebanon, Iran or the broader region last and become is unknown at this time and any renewed or continued clash among Israel, Hamas, Hezbollah, Iran or other countries or militant groups in the region may escalate in the future into a greater regional conflict. Continued military escalation, retaliatory actions, or broader regional involvement may adversely affect economic conditions, disrupt markets, and create uncertainty that could negatively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employees may be obligated to perform military reserve duty generally until they reach the age of 40 (or older, for officers or other citizens who hold certain positions in the Israeli armed forces reserves) and, in the event of a military conflict, may be called to active duty. In response to increases in terrorist activity and military conflicts in Israel, there have been periods of significant call-ups of military reservists. Military service call ups that result in absences of personnel from us for an extended period of time may materially and adversely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our operations have not been adversely affected by this situation. We currently manufacture our CGuard EPS and CGuard Prime at our facility in Tel Aviv, Israel. If there were a disruption to our existing manufacturing facility or our ability to procure raw materials and ship our products, we would have no other means of manufacturing and distributing CGuard EPS or CGuard Prime until we were able to restore the manufacturing and distribution capability at our facility or develop alternative manufacturing facilities and distribution capabilities. However, the intensity and duration of the security situation in Israel have been difficult to predict, as are the economic implications on our business and operations and on Israel’s economy in general. If the war extends for a long period of time or expands to other fronts, our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political instability and hostilities between Israel and its neighbors and any future armed conflict, terrorist activity or political instability in the region could adversely affect our operations in Israel and adversely affect the market price of our shares of common stock. In addition, several organizations and countries may restrict doing business with Israel and Israeli companies have been and are today subjected to economic boycotts. The interruption or curtailment of trade between Israel and its present trading partners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June 30, 2026, no director or officer of the Company </w:t>
      </w:r>
      <w:bookmarkStart w:id="492" w:name="xdx_90D_eecd--NonRule10b51ArrAdoptedFlag"/>
      <w:bookmarkStart w:id="493" w:name="xdx_907_eecd--Rule10b51ArrAdoptedFlag_db"/>
      <w:bookmarkEnd w:id="492"/>
      <w:bookmarkEnd w:id="493"/>
      <w:r>
        <w:rPr>
          <w:rFonts w:ascii="Times New Roman;Times;Serif" w:hAnsi="Times New Roman;Times;Serif"/>
          <w:b w:val="false"/>
          <w:i w:val="false"/>
          <w:caps w:val="false"/>
          <w:smallCaps w:val="false"/>
          <w:sz w:val="20"/>
        </w:rPr>
        <w:t xml:space="preserve">adopted or </w:t>
      </w:r>
      <w:bookmarkStart w:id="494" w:name="xdx_901_eecd--NonRule10b51ArrTrmntdFlag_"/>
      <w:bookmarkStart w:id="495" w:name="xdx_904_eecd--Rule10b51ArrTrmntdFlag_dbF"/>
      <w:bookmarkEnd w:id="494"/>
      <w:bookmarkEnd w:id="495"/>
      <w:r>
        <w:rPr>
          <w:rFonts w:ascii="Times New Roman;Times;Serif" w:hAnsi="Times New Roman;Times;Serif"/>
          <w:b w:val="false"/>
          <w:i w:val="false"/>
          <w:caps w:val="false"/>
          <w:smallCaps w:val="false"/>
          <w:sz w:val="20"/>
        </w:rPr>
        <w:t>terminated a “Rule 10b5-1 trading arrangement” or a “non-Rule 10b5-1 trading arrangement” (in each case, as defined in Item 408 of Regulation S-K).</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Exhibits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8"/>
        <w:gridCol w:w="60"/>
        <w:gridCol w:w="9337"/>
      </w:tblGrid>
      <w:tr>
        <w:trPr/>
        <w:tc>
          <w:tcPr>
            <w:tcW w:w="80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as amended through September 30, 2015 (incorporated by reference to Exhibit 3.1 to Quarterly Report on Form 10-Q filed with the Securities and Exchange Commission on November 9, 2015)</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(incorporated by reference to Exhibit 3.2 to Current Report on Form 8-K filed with the Securities and Exchange Commission on June 29, 2021)</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May 25, 2016)</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September 29, 2016)</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Designation of Preferences, Rights and Limitations of Series C Convertible Preferred Stock (incorporated by reference to Exhibit 3.1 to the Current Report on Form 8-K filed on March 15, 2017)</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Amendment to Certificate of Designation of Preferences, Rights and Limitation of Series C Convertible Preferred Stock (incorporated by reference to Exhibit 3.1 to the Current Report on Form 8-K filed on November 29, 2017)</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Certificate of Designation of Preferences, Rights and Limitation of Series B Convertible Preferred Stock (incorporated by reference to Exhibit 3.1 to the Current Report on Form 8-K filed on December 12, 2017)</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February 7, 2018)</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March 28, 2019)</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3.17 to the Quarterly Report on Form 10-Q filed on May 10, 2021)</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September 13, 2023)</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June 3, 2026)</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(the Instance Document does not appear in the interactive data file because its XBRL tags are embedded within the Inline XBRL document)</w:t>
            </w:r>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 Document</w:t>
            </w:r>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1865"/>
        <w:gridCol w:w="590"/>
        <w:gridCol w:w="365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2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Marvin Slosman,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6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Lawless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Lawless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496" w:name="ex31-1.htm"/>
      <w:bookmarkStart w:id="497" w:name="ksex311"/>
      <w:bookmarkEnd w:id="496"/>
      <w:bookmarkEnd w:id="497"/>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Marvin Slosman,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InspireMD, Inc.;</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65"/>
        <w:gridCol w:w="2360"/>
      </w:tblGrid>
      <w:tr>
        <w:trPr/>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14, 2026</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Marvin Slosman</w:t>
            </w:r>
          </w:p>
        </w:tc>
      </w:tr>
      <w:tr>
        <w:trPr/>
        <w:tc>
          <w:tcPr>
            <w:tcW w:w="1865"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Marvin Slosman</w:t>
            </w:r>
          </w:p>
        </w:tc>
      </w:tr>
      <w:tr>
        <w:trPr/>
        <w:tc>
          <w:tcPr>
            <w:tcW w:w="18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rPr>
      </w:pPr>
      <w:r>
        <w:rPr>
          <w:caps w:val="false"/>
          <w:smallCaps w:val="false"/>
        </w:rPr>
        <w:t> </w:t>
      </w:r>
    </w:p>
    <w:p>
      <w:pPr>
        <w:pStyle w:val="TextBody"/>
        <w:bidi w:val="0"/>
        <w:jc w:val="left"/>
        <w:rPr/>
      </w:pPr>
      <w:bookmarkStart w:id="498" w:name="ex31-2.htm"/>
      <w:bookmarkStart w:id="499" w:name="ksex312"/>
      <w:bookmarkEnd w:id="498"/>
      <w:bookmarkEnd w:id="499"/>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Michael Lawless,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InspireMD, Inc.;</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865"/>
        <w:gridCol w:w="365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Michael Lawless</w:t>
            </w:r>
          </w:p>
        </w:tc>
      </w:tr>
      <w:tr>
        <w:trPr/>
        <w:tc>
          <w:tcPr>
            <w:tcW w:w="18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Lawless</w:t>
            </w:r>
          </w:p>
        </w:tc>
      </w:tr>
      <w:tr>
        <w:trPr/>
        <w:tc>
          <w:tcPr>
            <w:tcW w:w="18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pPr>
      <w:bookmarkStart w:id="500" w:name="ex32-1.htm"/>
      <w:bookmarkStart w:id="501" w:name="ksex321"/>
      <w:bookmarkEnd w:id="500"/>
      <w:bookmarkEnd w:id="501"/>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InspireMD, Inc. (the “Company”) for the period ended June 30, 2026 as filed with the Securities and Exchange Commission on the date hereof (the “Report”), I, Marvin Slosman, Chief Executive Officer of the Company, certify, pursuant to 18 U.S.C. ss. 1350, that, to my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r>
        <w:trPr/>
        <w:tc>
          <w:tcPr>
            <w:tcW w:w="264" w:type="dxa"/>
            <w:tcBorders/>
            <w:vAlign w:val="center"/>
          </w:tcPr>
          <w:p>
            <w:pPr>
              <w:pStyle w:val="TableContents"/>
              <w:bidi w:val="0"/>
              <w:spacing w:before="0" w:after="283"/>
              <w:jc w:val="left"/>
              <w:rPr/>
            </w:pPr>
            <w:r>
              <w:rPr/>
              <w:t> </w:t>
            </w:r>
          </w:p>
        </w:tc>
        <w:tc>
          <w:tcPr>
            <w:tcW w:w="9941" w:type="dxa"/>
            <w:tcBorders/>
            <w:vAlign w:val="center"/>
          </w:tcPr>
          <w:p>
            <w:pPr>
              <w:pStyle w:val="TableContents"/>
              <w:bidi w:val="0"/>
              <w:spacing w:before="0" w:after="283"/>
              <w:jc w:val="left"/>
              <w:rPr/>
            </w:pPr>
            <w:r>
              <w:rPr/>
              <w:t> </w:t>
            </w:r>
          </w:p>
        </w:tc>
      </w:tr>
      <w:tr>
        <w:trPr/>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 </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as of and for the periods covered in this report.</w:t>
            </w:r>
          </w:p>
        </w:tc>
      </w:tr>
    </w:tbl>
    <w:p>
      <w:pPr>
        <w:pStyle w:val="TextBody"/>
        <w:bidi w:val="0"/>
        <w:jc w:val="both"/>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1865"/>
        <w:gridCol w:w="590"/>
        <w:gridCol w:w="2360"/>
      </w:tblGrid>
      <w:tr>
        <w:trPr/>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14, 2026</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Marvin Slosman</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Marvin Slosman</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pPr>
      <w:bookmarkStart w:id="502" w:name="ex32-2.htm"/>
      <w:bookmarkStart w:id="503" w:name="ksex322"/>
      <w:bookmarkEnd w:id="502"/>
      <w:bookmarkEnd w:id="503"/>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InspireMD, Inc. (the “Company”) for the period ended June 30, 2026 as filed with the Securities and Exchange Commission on the date hereof (the “Report”), I, Michael Lawless, Chief Financial Officer of the Company, certify, pursuant to 18 U.S.C. ss. 1350, that, to my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left"/>
              <w:rPr/>
            </w:pPr>
            <w:r>
              <w:rPr/>
              <w:t> </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as of and for the periods covered in this report.</w:t>
            </w:r>
          </w:p>
        </w:tc>
      </w:tr>
    </w:tbl>
    <w:p>
      <w:pPr>
        <w:pStyle w:val="TextBody"/>
        <w:bidi w:val="0"/>
        <w:jc w:val="both"/>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1865"/>
        <w:gridCol w:w="590"/>
        <w:gridCol w:w="3650"/>
      </w:tblGrid>
      <w:tr>
        <w:trPr/>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14, 2026</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6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Michael Lawless</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Michael Lawless</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65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3607/000161577415003178/s102096_ex3-1.htm" TargetMode="External"/><Relationship Id="rId3" Type="http://schemas.openxmlformats.org/officeDocument/2006/relationships/hyperlink" Target="https://www.sec.gov/Archives/edgar/data/1433607/000149315221015545/ex3-2.htm" TargetMode="External"/><Relationship Id="rId4" Type="http://schemas.openxmlformats.org/officeDocument/2006/relationships/hyperlink" Target="https://www.sec.gov/Archives/edgar/data/1433607/000161577416005628/s103343_ex3-1.htm" TargetMode="External"/><Relationship Id="rId5" Type="http://schemas.openxmlformats.org/officeDocument/2006/relationships/hyperlink" Target="https://www.sec.gov/Archives/edgar/data/1433607/000149315216013705/ex3-1.htm" TargetMode="External"/><Relationship Id="rId6" Type="http://schemas.openxmlformats.org/officeDocument/2006/relationships/hyperlink" Target="https://www.sec.gov/Archives/edgar/data/1433607/000149315217002455/ex3-1.htm" TargetMode="External"/><Relationship Id="rId7" Type="http://schemas.openxmlformats.org/officeDocument/2006/relationships/hyperlink" Target="https://www.sec.gov/Archives/edgar/data/1433607/000149315217013917/ex3-1.htm" TargetMode="External"/><Relationship Id="rId8" Type="http://schemas.openxmlformats.org/officeDocument/2006/relationships/hyperlink" Target="https://www.sec.gov/Archives/edgar/data/1433607/000149315217014515/ex3-1.htm" TargetMode="External"/><Relationship Id="rId9" Type="http://schemas.openxmlformats.org/officeDocument/2006/relationships/hyperlink" Target="https://www.sec.gov/Archives/edgar/data/1433607/000149315218001617/ex3-1.htm" TargetMode="External"/><Relationship Id="rId10" Type="http://schemas.openxmlformats.org/officeDocument/2006/relationships/hyperlink" Target="https://www.sec.gov/Archives/edgar/data/1433607/000149315219004101/ex3-1.htm" TargetMode="External"/><Relationship Id="rId11" Type="http://schemas.openxmlformats.org/officeDocument/2006/relationships/hyperlink" Target="https://www.sec.gov/Archives/edgar/data/1433607/000149315221010881/ex3-17.htm" TargetMode="External"/><Relationship Id="rId12" Type="http://schemas.openxmlformats.org/officeDocument/2006/relationships/hyperlink" Target="https://www.sec.gov/Archives/edgar/data/1433607/000149315223032486/ex3-1.htm" TargetMode="External"/><Relationship Id="rId13" Type="http://schemas.openxmlformats.org/officeDocument/2006/relationships/hyperlink" Target="https://www.sec.gov/Archives/edgar/data/1433607/000149315226027045/ex3-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18844</Words>
  <Characters>102774</Characters>
  <CharactersWithSpaces>123402</CharactersWithSpaces>
  <Paragraphs>4988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