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4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6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F_edei--DocumentPeriodEndDate_c202"/>
      <w:bookmarkEnd w:id="4"/>
      <w:r>
        <w:rPr>
          <w:rFonts w:ascii="Times New Roman;Times;Serif" w:hAnsi="Times New Roman;Times;Serif"/>
          <w:b/>
          <w:i w:val="false"/>
          <w:caps w:val="false"/>
          <w:smallCaps w:val="false"/>
          <w:sz w:val="20"/>
        </w:rPr>
        <w:t xml:space="preserve">March 31, </w:t>
      </w:r>
      <w:bookmarkStart w:id="5" w:name="xdx_904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0_edei--DocumentTransitionReport_c"/>
            <w:bookmarkEnd w:id="6"/>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1_edei--EntityFileNumber_c20240101"/>
      <w:bookmarkEnd w:id="7"/>
      <w:r>
        <w:rPr>
          <w:rFonts w:ascii="Times New Roman;Times;Serif" w:hAnsi="Times New Roman;Times;Serif"/>
          <w:b/>
          <w:i w:val="false"/>
          <w:caps w:val="false"/>
          <w:smallCaps w:val="false"/>
          <w:sz w:val="20"/>
        </w:rPr>
        <w:t>001-35731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9_edei--EntityRegistrantName_c2024"/>
      <w:bookmarkEnd w:id="8"/>
      <w:r>
        <w:rPr>
          <w:rFonts w:ascii="Times New Roman;Times;Serif" w:hAnsi="Times New Roman;Times;Serif"/>
          <w:b/>
          <w:i w:val="false"/>
          <w:caps w:val="false"/>
          <w:smallCaps w:val="false"/>
          <w:sz w:val="36"/>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C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1_edei--EntityTaxIdentificationNum"/>
            <w:bookmarkEnd w:id="10"/>
            <w:r>
              <w:rPr>
                <w:rFonts w:ascii="Times New Roman;Times;Serif" w:hAnsi="Times New Roman;Times;Serif"/>
                <w:b/>
                <w:i w:val="false"/>
                <w:caps w:val="false"/>
                <w:smallCaps w:val="false"/>
                <w:sz w:val="20"/>
              </w:rPr>
              <w:t>26-2123838</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A_edei--EntityAddressAddressLine1_"/>
      <w:bookmarkEnd w:id="11"/>
      <w:r>
        <w:rPr>
          <w:rFonts w:ascii="Times New Roman;Times;Serif" w:hAnsi="Times New Roman;Times;Serif"/>
          <w:b/>
          <w:i w:val="false"/>
          <w:caps w:val="false"/>
          <w:smallCaps w:val="false"/>
          <w:sz w:val="20"/>
        </w:rPr>
        <w:t>4 Menorat Hamaor 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9_edei--EntityAddressCityOrTown_c2"/>
      <w:bookmarkEnd w:id="12"/>
      <w:r>
        <w:rPr>
          <w:rFonts w:ascii="Times New Roman;Times;Serif" w:hAnsi="Times New Roman;Times;Serif"/>
          <w:b/>
          <w:i w:val="false"/>
          <w:caps w:val="false"/>
          <w:smallCaps w:val="false"/>
          <w:sz w:val="20"/>
        </w:rPr>
        <w:t xml:space="preserve">Tel Aviv, </w:t>
      </w:r>
      <w:bookmarkStart w:id="13" w:name="xdx_90B_edei--EntityAddressCountry_c2024"/>
      <w:bookmarkEnd w:id="13"/>
      <w:r>
        <w:rPr>
          <w:rFonts w:ascii="Times New Roman;Times;Serif" w:hAnsi="Times New Roman;Times;Serif"/>
          <w:b/>
          <w:i w:val="false"/>
          <w:caps w:val="false"/>
          <w:smallCaps w:val="false"/>
          <w:sz w:val="20"/>
        </w:rPr>
        <w:t xml:space="preserve">Israel </w:t>
      </w:r>
      <w:bookmarkStart w:id="14" w:name="xdx_909_edei--EntityAddressPostalZipCode"/>
      <w:bookmarkEnd w:id="14"/>
      <w:r>
        <w:rPr>
          <w:rFonts w:ascii="Times New Roman;Times;Serif" w:hAnsi="Times New Roman;Times;Serif"/>
          <w:b/>
          <w:i w:val="false"/>
          <w:caps w:val="false"/>
          <w:smallCaps w:val="false"/>
          <w:sz w:val="20"/>
        </w:rPr>
        <w:t>6744832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1_edei--CityAreaCode_c20240101__20"/>
      <w:bookmarkEnd w:id="15"/>
      <w:r>
        <w:rPr>
          <w:rFonts w:ascii="Times New Roman;Times;Serif" w:hAnsi="Times New Roman;Times;Serif"/>
          <w:b/>
          <w:i w:val="false"/>
          <w:caps w:val="false"/>
          <w:smallCaps w:val="false"/>
          <w:sz w:val="20"/>
        </w:rPr>
        <w:t xml:space="preserve">(888) </w:t>
      </w:r>
      <w:bookmarkStart w:id="16" w:name="xdx_908_edei--LocalPhoneNumber_c20240101"/>
      <w:bookmarkEnd w:id="16"/>
      <w:r>
        <w:rPr>
          <w:rFonts w:ascii="Times New Roman;Times;Serif" w:hAnsi="Times New Roman;Times;Serif"/>
          <w:b/>
          <w:i w:val="false"/>
          <w:caps w:val="false"/>
          <w:smallCaps w:val="false"/>
          <w:sz w:val="20"/>
        </w:rPr>
        <w:t>776-6204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7" w:name="xdx_908_edei--EntityCurrentReportingStat"/>
      <w:bookmarkEnd w:id="1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18" w:name="xdx_90C_edei--EntityInteractiveDataCurre"/>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EntityFilerCategory_c20240"/>
            <w:bookmarkEnd w:id="19"/>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0" w:name="xdx_90A_edei--EntitySmallBusiness_c20240"/>
            <w:bookmarkEnd w:id="20"/>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2" w:name="xdx_90A_edei--EntityShellCompany_dbF_c20"/>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Security12bTitle_c20240101"/>
            <w:bookmarkEnd w:id="23"/>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A_edei--TradingSymbol_c20240101__2"/>
            <w:bookmarkEnd w:id="24"/>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6_edei--SecurityExchangeName_c2024"/>
            <w:bookmarkEnd w:id="25"/>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the registrant’s common stock, $0.0001 par value, outstanding as of May 13, 2024: </w:t>
      </w:r>
      <w:bookmarkStart w:id="26" w:name="xdx_907_edei--EntityCommonStockSharesOut"/>
      <w:bookmarkEnd w:id="26"/>
      <w:r>
        <w:rPr>
          <w:rFonts w:ascii="Times New Roman;Times;Serif" w:hAnsi="Times New Roman;Times;Serif"/>
          <w:b w:val="false"/>
          <w:i w:val="false"/>
          <w:caps w:val="false"/>
          <w:smallCaps w:val="false"/>
          <w:sz w:val="20"/>
        </w:rPr>
        <w:t>24,929,825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25"/>
        <w:gridCol w:w="728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left"/>
              <w:rPr/>
            </w:pPr>
            <w:hyperlink w:anchor="Z_001">
              <w:r>
                <w:rPr>
                  <w:rStyle w:val="InternetLink"/>
                  <w:rFonts w:ascii="Times New Roman;Times;Serif" w:hAnsi="Times New Roman;Times;Serif"/>
                  <w:b w:val="false"/>
                  <w:i w:val="false"/>
                  <w:caps w:val="false"/>
                  <w:smallCaps w:val="false"/>
                  <w:sz w:val="20"/>
                </w:rPr>
                <w:t>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Z_00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Z_00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Z_004">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center"/>
              <w:rPr/>
            </w:pPr>
            <w:hyperlink w:anchor="Z_005">
              <w:r>
                <w:rPr>
                  <w:rStyle w:val="InternetLink"/>
                  <w:rFonts w:ascii="Times New Roman;Times;Serif" w:hAnsi="Times New Roman;Times;Serif"/>
                  <w:b w:val="false"/>
                  <w:i w:val="false"/>
                  <w:caps w:val="false"/>
                  <w:smallCaps w:val="false"/>
                  <w:sz w:val="20"/>
                </w:rPr>
                <w:t>PART II</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left"/>
              <w:rPr/>
            </w:pPr>
            <w:hyperlink w:anchor="Z_006">
              <w:r>
                <w:rPr>
                  <w:rStyle w:val="InternetLink"/>
                  <w:rFonts w:ascii="Times New Roman;Times;Serif" w:hAnsi="Times New Roman;Times;Serif"/>
                  <w:b w:val="false"/>
                  <w:i w:val="false"/>
                  <w:caps w:val="false"/>
                  <w:smallCaps w:val="false"/>
                  <w:sz w:val="20"/>
                </w:rPr>
                <w:t>Legal Proceedings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Z_007">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FFFFFF" w:val="clear"/>
            <w:vAlign w:val="center"/>
          </w:tcPr>
          <w:p>
            <w:pPr>
              <w:pStyle w:val="TableContents"/>
              <w:bidi w:val="0"/>
              <w:spacing w:before="0" w:after="283"/>
              <w:jc w:val="left"/>
              <w:rPr/>
            </w:pPr>
            <w:hyperlink w:anchor="Z_011">
              <w:r>
                <w:rPr>
                  <w:rStyle w:val="InternetLink"/>
                  <w:rFonts w:ascii="Times New Roman;Times;Serif" w:hAnsi="Times New Roman;Times;Serif"/>
                  <w:b w:val="false"/>
                  <w:i w:val="false"/>
                  <w:caps w:val="false"/>
                  <w:smallCaps w:val="false"/>
                  <w:sz w:val="20"/>
                </w:rPr>
                <w:t>Other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Z_012">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Z_001"/>
      <w:bookmarkEnd w:id="27"/>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QUARTER ENDED MARCH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4160"/>
        <w:gridCol w:w="830"/>
      </w:tblGrid>
      <w:tr>
        <w:trPr/>
        <w:tc>
          <w:tcPr>
            <w:tcW w:w="41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16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8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1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Consolidated Balance Sheets</w:t>
              </w:r>
            </w:hyperlink>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F-2 - F-3</w:t>
            </w:r>
          </w:p>
        </w:tc>
      </w:tr>
      <w:tr>
        <w:trPr/>
        <w:tc>
          <w:tcPr>
            <w:tcW w:w="416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Consolidated Statements of Operations</w:t>
              </w:r>
            </w:hyperlink>
          </w:p>
        </w:tc>
        <w:tc>
          <w:tcPr>
            <w:tcW w:w="8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416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Consolidated Statements of Changes in Equity</w:t>
              </w:r>
            </w:hyperlink>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F-5 </w:t>
            </w:r>
          </w:p>
        </w:tc>
      </w:tr>
      <w:tr>
        <w:trPr/>
        <w:tc>
          <w:tcPr>
            <w:tcW w:w="416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Consolidated Statements of Cash Flows</w:t>
              </w:r>
            </w:hyperlink>
          </w:p>
        </w:tc>
        <w:tc>
          <w:tcPr>
            <w:tcW w:w="8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416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Notes to the Consolidated Financial Statements</w:t>
              </w:r>
            </w:hyperlink>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F-8 - F-14</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01"/>
      <w:bookmarkEnd w:id="28"/>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30C_111_pn3n3_zBwO9Ur7bkp8"/>
      <w:bookmarkStart w:id="30" w:name="xdx_30C_111_pn3n3_zBwO9Ur7bkp8"/>
      <w:bookmarkEnd w:id="30"/>
    </w:p>
    <w:tbl>
      <w:tblPr>
        <w:tblW w:w="7468" w:type="dxa"/>
        <w:jc w:val="left"/>
        <w:tblInd w:w="0" w:type="dxa"/>
        <w:tblLayout w:type="fixed"/>
        <w:tblCellMar>
          <w:top w:w="0" w:type="dxa"/>
          <w:left w:w="0" w:type="dxa"/>
          <w:bottom w:w="0" w:type="dxa"/>
          <w:right w:w="0" w:type="dxa"/>
        </w:tblCellMar>
      </w:tblPr>
      <w:tblGrid>
        <w:gridCol w:w="4850"/>
        <w:gridCol w:w="60"/>
        <w:gridCol w:w="172"/>
        <w:gridCol w:w="837"/>
        <w:gridCol w:w="60"/>
        <w:gridCol w:w="60"/>
        <w:gridCol w:w="231"/>
        <w:gridCol w:w="1123"/>
        <w:gridCol w:w="75"/>
      </w:tblGrid>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1" w:name="xdx_497_20240331_zD8011g045ed"/>
            <w:bookmarkEnd w:id="31"/>
          </w:p>
        </w:tc>
        <w:tc>
          <w:tcPr>
            <w:tcW w:w="1009" w:type="dxa"/>
            <w:gridSpan w:val="2"/>
            <w:tcBorders>
              <w:bottom w:val="single" w:sz="12" w:space="0" w:color="000000"/>
            </w:tcBorders>
            <w:tcMar>
              <w:bottom w:w="28" w:type="dxa"/>
            </w:tcMar>
            <w:vAlign w:val="center"/>
          </w:tcPr>
          <w:p>
            <w:pPr>
              <w:pStyle w:val="TableContents"/>
              <w:bidi w:val="0"/>
              <w:jc w:val="center"/>
              <w:rPr>
                <w:b/>
              </w:rPr>
            </w:pPr>
            <w:r>
              <w:rPr>
                <w:b/>
              </w:rPr>
              <w:t>March 31</w:t>
            </w:r>
          </w:p>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E_20231231_z5RQCCfRMlbd"/>
            <w:bookmarkEnd w:id="32"/>
          </w:p>
        </w:tc>
        <w:tc>
          <w:tcPr>
            <w:tcW w:w="1354"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3" w:name="xdx_40E_eus-gaap--AssetsAbstract_iB"/>
            <w:bookmarkEnd w:id="33"/>
          </w:p>
        </w:tc>
      </w:tr>
      <w:tr>
        <w:trPr/>
        <w:tc>
          <w:tcPr>
            <w:tcW w:w="485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4" w:name="xdx_402_eus-gaap--AssetsCurrentAbstract_"/>
            <w:bookmarkEnd w:id="34"/>
          </w:p>
        </w:tc>
      </w:tr>
      <w:tr>
        <w:trPr/>
        <w:tc>
          <w:tcPr>
            <w:tcW w:w="485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5" w:name="xdx_407_eus-gaap--CashAndCashEquivalents"/>
            <w:bookmarkEnd w:id="35"/>
          </w:p>
        </w:tc>
      </w:tr>
      <w:tr>
        <w:trPr/>
        <w:tc>
          <w:tcPr>
            <w:tcW w:w="485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9,389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9,640</w:t>
            </w:r>
          </w:p>
        </w:tc>
        <w:tc>
          <w:tcPr>
            <w:tcW w:w="75" w:type="dxa"/>
            <w:tcBorders/>
            <w:shd w:fill="CCEEFF" w:val="clear"/>
            <w:vAlign w:val="center"/>
          </w:tcPr>
          <w:p>
            <w:pPr>
              <w:pStyle w:val="TableContents"/>
              <w:bidi w:val="0"/>
              <w:spacing w:before="0" w:after="283"/>
              <w:jc w:val="left"/>
              <w:rPr/>
            </w:pPr>
            <w:r>
              <w:rPr/>
              <w:t> </w:t>
            </w:r>
            <w:bookmarkStart w:id="36" w:name="xdx_402_eus-gaap--MarketableSecuritiesCu"/>
            <w:bookmarkEnd w:id="36"/>
          </w:p>
        </w:tc>
      </w:tr>
      <w:tr>
        <w:trPr/>
        <w:tc>
          <w:tcPr>
            <w:tcW w:w="4850"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24,561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29,383</w:t>
            </w:r>
          </w:p>
        </w:tc>
        <w:tc>
          <w:tcPr>
            <w:tcW w:w="75" w:type="dxa"/>
            <w:tcBorders/>
            <w:shd w:fill="FFFFFF" w:val="clear"/>
            <w:vAlign w:val="center"/>
          </w:tcPr>
          <w:p>
            <w:pPr>
              <w:pStyle w:val="TableContents"/>
              <w:bidi w:val="0"/>
              <w:spacing w:before="0" w:after="283"/>
              <w:jc w:val="left"/>
              <w:rPr/>
            </w:pPr>
            <w:r>
              <w:rPr/>
              <w:t> </w:t>
            </w:r>
            <w:bookmarkStart w:id="37" w:name="xdx_406_eus-gaap--AccountsReceivableNetC"/>
            <w:bookmarkEnd w:id="37"/>
          </w:p>
        </w:tc>
      </w:tr>
      <w:tr>
        <w:trPr/>
        <w:tc>
          <w:tcPr>
            <w:tcW w:w="48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8" w:name="xdx_40D_eus-gaap--AccountsReceivableNetC"/>
            <w:bookmarkEnd w:id="38"/>
          </w:p>
        </w:tc>
      </w:tr>
      <w:tr>
        <w:trPr/>
        <w:tc>
          <w:tcPr>
            <w:tcW w:w="4850" w:type="dxa"/>
            <w:tcBorders/>
            <w:shd w:fill="FFFFFF" w:val="clear"/>
            <w:vAlign w:val="center"/>
          </w:tcPr>
          <w:p>
            <w:pPr>
              <w:pStyle w:val="TableContents"/>
              <w:bidi w:val="0"/>
              <w:spacing w:before="0" w:after="283"/>
              <w:jc w:val="left"/>
              <w:rPr/>
            </w:pPr>
            <w:r>
              <w:rPr/>
              <w:t>Trade,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1,804</w:t>
            </w:r>
          </w:p>
        </w:tc>
        <w:tc>
          <w:tcPr>
            <w:tcW w:w="75" w:type="dxa"/>
            <w:tcBorders/>
            <w:shd w:fill="FFFFFF" w:val="clear"/>
            <w:vAlign w:val="center"/>
          </w:tcPr>
          <w:p>
            <w:pPr>
              <w:pStyle w:val="TableContents"/>
              <w:bidi w:val="0"/>
              <w:spacing w:before="0" w:after="283"/>
              <w:jc w:val="left"/>
              <w:rPr/>
            </w:pPr>
            <w:r>
              <w:rPr/>
              <w:t> </w:t>
            </w:r>
            <w:bookmarkStart w:id="39" w:name="xdx_403_eus-gaap--NontradeReceivablesCur"/>
            <w:bookmarkEnd w:id="39"/>
          </w:p>
        </w:tc>
      </w:tr>
      <w:tr>
        <w:trPr/>
        <w:tc>
          <w:tcPr>
            <w:tcW w:w="485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648</w:t>
            </w:r>
          </w:p>
        </w:tc>
        <w:tc>
          <w:tcPr>
            <w:tcW w:w="75" w:type="dxa"/>
            <w:tcBorders/>
            <w:shd w:fill="CCEEFF" w:val="clear"/>
            <w:vAlign w:val="center"/>
          </w:tcPr>
          <w:p>
            <w:pPr>
              <w:pStyle w:val="TableContents"/>
              <w:bidi w:val="0"/>
              <w:spacing w:before="0" w:after="283"/>
              <w:jc w:val="left"/>
              <w:rPr/>
            </w:pPr>
            <w:r>
              <w:rPr/>
              <w:t> </w:t>
            </w:r>
            <w:bookmarkStart w:id="40" w:name="xdx_40A_eus-gaap--PrepaidExpenseCurrent_"/>
            <w:bookmarkEnd w:id="40"/>
          </w:p>
        </w:tc>
      </w:tr>
      <w:tr>
        <w:trPr/>
        <w:tc>
          <w:tcPr>
            <w:tcW w:w="485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578</w:t>
            </w:r>
          </w:p>
        </w:tc>
        <w:tc>
          <w:tcPr>
            <w:tcW w:w="75" w:type="dxa"/>
            <w:tcBorders/>
            <w:shd w:fill="FFFFFF" w:val="clear"/>
            <w:vAlign w:val="center"/>
          </w:tcPr>
          <w:p>
            <w:pPr>
              <w:pStyle w:val="TableContents"/>
              <w:bidi w:val="0"/>
              <w:spacing w:before="0" w:after="283"/>
              <w:jc w:val="left"/>
              <w:rPr/>
            </w:pPr>
            <w:r>
              <w:rPr/>
              <w:t> </w:t>
            </w:r>
            <w:bookmarkStart w:id="41" w:name="xdx_40D_eus-gaap--InventoryNet_i02I_maAC"/>
            <w:bookmarkEnd w:id="41"/>
          </w:p>
        </w:tc>
      </w:tr>
      <w:tr>
        <w:trPr/>
        <w:tc>
          <w:tcPr>
            <w:tcW w:w="48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2,360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2,106</w:t>
            </w:r>
          </w:p>
        </w:tc>
        <w:tc>
          <w:tcPr>
            <w:tcW w:w="75" w:type="dxa"/>
            <w:tcBorders/>
            <w:shd w:fill="CCEEFF" w:val="clear"/>
            <w:vAlign w:val="center"/>
          </w:tcPr>
          <w:p>
            <w:pPr>
              <w:pStyle w:val="TableContents"/>
              <w:bidi w:val="0"/>
              <w:spacing w:before="0" w:after="283"/>
              <w:jc w:val="left"/>
              <w:rPr/>
            </w:pPr>
            <w:r>
              <w:rPr/>
              <w:t> </w:t>
            </w:r>
            <w:bookmarkStart w:id="42" w:name="xdx_40C_eus-gaap--AssetsCurrent_i02TI_mt"/>
            <w:bookmarkEnd w:id="42"/>
          </w:p>
        </w:tc>
      </w:tr>
      <w:tr>
        <w:trPr/>
        <w:tc>
          <w:tcPr>
            <w:tcW w:w="485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FFFFFF" w:val="clear"/>
            <w:tcMar>
              <w:bottom w:w="28" w:type="dxa"/>
            </w:tcMar>
            <w:vAlign w:val="center"/>
          </w:tcPr>
          <w:p>
            <w:pPr>
              <w:pStyle w:val="TableContents"/>
              <w:bidi w:val="0"/>
              <w:spacing w:before="0" w:after="283"/>
              <w:jc w:val="right"/>
              <w:rPr/>
            </w:pPr>
            <w:r>
              <w:rPr/>
              <w:t>38,511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44,159</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3" w:name="xdx_40B_eus-gaap--AssetsNoncurrentAbstra"/>
            <w:bookmarkEnd w:id="43"/>
          </w:p>
        </w:tc>
      </w:tr>
      <w:tr>
        <w:trPr/>
        <w:tc>
          <w:tcPr>
            <w:tcW w:w="4850"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4" w:name="xdx_40D_eus-gaap--PropertyPlantAndEquipm"/>
            <w:bookmarkEnd w:id="44"/>
          </w:p>
        </w:tc>
      </w:tr>
      <w:tr>
        <w:trPr/>
        <w:tc>
          <w:tcPr>
            <w:tcW w:w="485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1,060</w:t>
            </w:r>
          </w:p>
        </w:tc>
        <w:tc>
          <w:tcPr>
            <w:tcW w:w="75" w:type="dxa"/>
            <w:tcBorders/>
            <w:shd w:fill="CCEEFF" w:val="clear"/>
            <w:vAlign w:val="center"/>
          </w:tcPr>
          <w:p>
            <w:pPr>
              <w:pStyle w:val="TableContents"/>
              <w:bidi w:val="0"/>
              <w:spacing w:before="0" w:after="283"/>
              <w:jc w:val="left"/>
              <w:rPr/>
            </w:pPr>
            <w:r>
              <w:rPr/>
              <w:t> </w:t>
            </w:r>
            <w:bookmarkStart w:id="45" w:name="xdx_400_eus-gaap--OperatingLeaseRightOfU"/>
            <w:bookmarkEnd w:id="45"/>
          </w:p>
        </w:tc>
      </w:tr>
      <w:tr>
        <w:trPr/>
        <w:tc>
          <w:tcPr>
            <w:tcW w:w="4850" w:type="dxa"/>
            <w:tcBorders/>
            <w:shd w:fill="FFFFFF" w:val="clear"/>
            <w:vAlign w:val="center"/>
          </w:tcPr>
          <w:p>
            <w:pPr>
              <w:pStyle w:val="TableContents"/>
              <w:bidi w:val="0"/>
              <w:spacing w:before="0" w:after="283"/>
              <w:jc w:val="left"/>
              <w:rPr/>
            </w:pPr>
            <w:r>
              <w:rPr/>
              <w:t>Operating lease right of use assets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1,473</w:t>
            </w:r>
          </w:p>
        </w:tc>
        <w:tc>
          <w:tcPr>
            <w:tcW w:w="75" w:type="dxa"/>
            <w:tcBorders/>
            <w:shd w:fill="FFFFFF" w:val="clear"/>
            <w:vAlign w:val="center"/>
          </w:tcPr>
          <w:p>
            <w:pPr>
              <w:pStyle w:val="TableContents"/>
              <w:bidi w:val="0"/>
              <w:spacing w:before="0" w:after="283"/>
              <w:jc w:val="left"/>
              <w:rPr/>
            </w:pPr>
            <w:r>
              <w:rPr/>
              <w:t> </w:t>
            </w:r>
            <w:bookmarkStart w:id="46" w:name="xdx_40E_eus-gaap--DefinedBenefitPlanAsse"/>
            <w:bookmarkEnd w:id="46"/>
          </w:p>
        </w:tc>
      </w:tr>
      <w:tr>
        <w:trPr/>
        <w:tc>
          <w:tcPr>
            <w:tcW w:w="4850" w:type="dxa"/>
            <w:tcBorders/>
            <w:shd w:fill="CCEEFF" w:val="clear"/>
            <w:vAlign w:val="center"/>
          </w:tcPr>
          <w:p>
            <w:pPr>
              <w:pStyle w:val="TableContents"/>
              <w:bidi w:val="0"/>
              <w:spacing w:before="0" w:after="283"/>
              <w:jc w:val="left"/>
              <w:rPr/>
            </w:pPr>
            <w:r>
              <w:rPr/>
              <w:t>Fund in respect of employee rights upon retirement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951</w:t>
            </w:r>
          </w:p>
        </w:tc>
        <w:tc>
          <w:tcPr>
            <w:tcW w:w="75" w:type="dxa"/>
            <w:tcBorders/>
            <w:shd w:fill="CCEEFF" w:val="clear"/>
            <w:vAlign w:val="center"/>
          </w:tcPr>
          <w:p>
            <w:pPr>
              <w:pStyle w:val="TableContents"/>
              <w:bidi w:val="0"/>
              <w:spacing w:before="0" w:after="283"/>
              <w:jc w:val="left"/>
              <w:rPr/>
            </w:pPr>
            <w:r>
              <w:rPr/>
              <w:t> </w:t>
            </w:r>
            <w:bookmarkStart w:id="47" w:name="xdx_400_eus-gaap--AssetsNoncurrent_i02TI"/>
            <w:bookmarkEnd w:id="47"/>
          </w:p>
        </w:tc>
      </w:tr>
      <w:tr>
        <w:trPr/>
        <w:tc>
          <w:tcPr>
            <w:tcW w:w="485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FFFFFF" w:val="clear"/>
            <w:tcMar>
              <w:bottom w:w="28" w:type="dxa"/>
            </w:tcMar>
            <w:vAlign w:val="center"/>
          </w:tcPr>
          <w:p>
            <w:pPr>
              <w:pStyle w:val="TableContents"/>
              <w:bidi w:val="0"/>
              <w:spacing w:before="0" w:after="283"/>
              <w:jc w:val="right"/>
              <w:rPr/>
            </w:pPr>
            <w:r>
              <w:rPr/>
              <w:t>3,517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3,484</w:t>
            </w:r>
          </w:p>
        </w:tc>
        <w:tc>
          <w:tcPr>
            <w:tcW w:w="75" w:type="dxa"/>
            <w:tcBorders/>
            <w:shd w:fill="FFFFFF" w:val="clear"/>
            <w:vAlign w:val="center"/>
          </w:tcPr>
          <w:p>
            <w:pPr>
              <w:pStyle w:val="TableContents"/>
              <w:bidi w:val="0"/>
              <w:spacing w:before="0" w:after="283"/>
              <w:jc w:val="left"/>
              <w:rPr/>
            </w:pPr>
            <w:r>
              <w:rPr/>
              <w:t> </w:t>
            </w:r>
            <w:bookmarkStart w:id="48" w:name="xdx_401_eus-gaap--Assets_i01TI_mtAzU1u_z"/>
            <w:bookmarkEnd w:id="48"/>
          </w:p>
        </w:tc>
      </w:tr>
      <w:tr>
        <w:trPr/>
        <w:tc>
          <w:tcPr>
            <w:tcW w:w="485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CCEEFF" w:val="clear"/>
            <w:tcMar>
              <w:bottom w:w="28" w:type="dxa"/>
            </w:tcMar>
            <w:vAlign w:val="center"/>
          </w:tcPr>
          <w:p>
            <w:pPr>
              <w:pStyle w:val="TableContents"/>
              <w:bidi w:val="0"/>
              <w:spacing w:before="0" w:after="283"/>
              <w:jc w:val="right"/>
              <w:rPr/>
            </w:pPr>
            <w:r>
              <w:rPr/>
              <w:t>42,028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47,643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other than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4"/>
        <w:gridCol w:w="60"/>
        <w:gridCol w:w="140"/>
        <w:gridCol w:w="875"/>
        <w:gridCol w:w="95"/>
        <w:gridCol w:w="60"/>
        <w:gridCol w:w="156"/>
        <w:gridCol w:w="984"/>
        <w:gridCol w:w="111"/>
      </w:tblGrid>
      <w:tr>
        <w:trPr/>
        <w:tc>
          <w:tcPr>
            <w:tcW w:w="7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jc w:val="center"/>
              <w:rPr>
                <w:b/>
              </w:rPr>
            </w:pPr>
            <w:r>
              <w:rPr>
                <w:b/>
              </w:rPr>
              <w:t>March 31</w:t>
            </w:r>
          </w:p>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2023</w:t>
            </w:r>
          </w:p>
        </w:tc>
        <w:tc>
          <w:tcPr>
            <w:tcW w:w="111" w:type="dxa"/>
            <w:tcBorders/>
            <w:vAlign w:val="center"/>
          </w:tcPr>
          <w:p>
            <w:pPr>
              <w:pStyle w:val="TableContents"/>
              <w:bidi w:val="0"/>
              <w:spacing w:before="0" w:after="283"/>
              <w:jc w:val="left"/>
              <w:rPr/>
            </w:pPr>
            <w:r>
              <w:rPr/>
              <w:t> </w:t>
            </w:r>
            <w:bookmarkStart w:id="49" w:name="xdx_40C_eus-gaap--LiabilitiesAndStockhol"/>
            <w:bookmarkEnd w:id="49"/>
          </w:p>
        </w:tc>
      </w:tr>
      <w:tr>
        <w:trPr/>
        <w:tc>
          <w:tcPr>
            <w:tcW w:w="7724" w:type="dxa"/>
            <w:tcBorders/>
            <w:shd w:fill="CCEEFF" w:val="clear"/>
            <w:vAlign w:val="center"/>
          </w:tcPr>
          <w:p>
            <w:pPr>
              <w:pStyle w:val="TableContents"/>
              <w:bidi w:val="0"/>
              <w:spacing w:before="0" w:after="283"/>
              <w:jc w:val="center"/>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0" w:name="xdx_409_eus-gaap--LiabilitiesCurrentAbst"/>
            <w:bookmarkEnd w:id="50"/>
          </w:p>
        </w:tc>
      </w:tr>
      <w:tr>
        <w:trPr/>
        <w:tc>
          <w:tcPr>
            <w:tcW w:w="7724"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1" w:name="xdx_40B_eus-gaap--AccountsPayableAndAccr"/>
            <w:bookmarkEnd w:id="51"/>
          </w:p>
        </w:tc>
      </w:tr>
      <w:tr>
        <w:trPr/>
        <w:tc>
          <w:tcPr>
            <w:tcW w:w="7724" w:type="dxa"/>
            <w:tcBorders/>
            <w:shd w:fill="FFFFFF" w:val="clear"/>
            <w:vAlign w:val="center"/>
          </w:tcPr>
          <w:p>
            <w:pPr>
              <w:pStyle w:val="TableContents"/>
              <w:bidi w:val="0"/>
              <w:spacing w:before="0" w:after="283"/>
              <w:jc w:val="left"/>
              <w:rPr/>
            </w:pPr>
            <w:r>
              <w:rPr/>
              <w:t>Accounts payable and accruals: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2" w:name="xdx_409_eus-gaap--AccountsPayableTradeCu"/>
            <w:bookmarkEnd w:id="52"/>
          </w:p>
        </w:tc>
      </w:tr>
      <w:tr>
        <w:trPr/>
        <w:tc>
          <w:tcPr>
            <w:tcW w:w="7724" w:type="dxa"/>
            <w:tcBorders/>
            <w:shd w:fill="CCEEFF" w:val="clear"/>
            <w:vAlign w:val="center"/>
          </w:tcPr>
          <w:p>
            <w:pPr>
              <w:pStyle w:val="TableContents"/>
              <w:bidi w:val="0"/>
              <w:spacing w:before="0" w:after="283"/>
              <w:jc w:val="left"/>
              <w:rPr/>
            </w:pPr>
            <w:r>
              <w:rPr/>
              <w:t>Trade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939</w:t>
            </w:r>
          </w:p>
        </w:tc>
        <w:tc>
          <w:tcPr>
            <w:tcW w:w="111" w:type="dxa"/>
            <w:tcBorders/>
            <w:shd w:fill="CCEEFF" w:val="clear"/>
            <w:vAlign w:val="center"/>
          </w:tcPr>
          <w:p>
            <w:pPr>
              <w:pStyle w:val="TableContents"/>
              <w:bidi w:val="0"/>
              <w:spacing w:before="0" w:after="283"/>
              <w:jc w:val="left"/>
              <w:rPr/>
            </w:pPr>
            <w:r>
              <w:rPr/>
              <w:t> </w:t>
            </w:r>
            <w:bookmarkStart w:id="53" w:name="xdx_400_eus-gaap--AccountsPayableOtherCu"/>
            <w:bookmarkEnd w:id="53"/>
          </w:p>
        </w:tc>
      </w:tr>
      <w:tr>
        <w:trPr/>
        <w:tc>
          <w:tcPr>
            <w:tcW w:w="7724"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pPr>
            <w:r>
              <w:rPr/>
              <w:t>5,081</w:t>
            </w:r>
          </w:p>
        </w:tc>
        <w:tc>
          <w:tcPr>
            <w:tcW w:w="111" w:type="dxa"/>
            <w:tcBorders/>
            <w:shd w:fill="FFFFFF" w:val="clear"/>
            <w:vAlign w:val="center"/>
          </w:tcPr>
          <w:p>
            <w:pPr>
              <w:pStyle w:val="TableContents"/>
              <w:bidi w:val="0"/>
              <w:spacing w:before="0" w:after="283"/>
              <w:jc w:val="left"/>
              <w:rPr/>
            </w:pPr>
            <w:r>
              <w:rPr/>
              <w:t> </w:t>
            </w:r>
            <w:bookmarkStart w:id="54" w:name="xdx_402_eus-gaap--LiabilitiesCurrent_i02"/>
            <w:bookmarkEnd w:id="54"/>
          </w:p>
        </w:tc>
      </w:tr>
      <w:tr>
        <w:trPr/>
        <w:tc>
          <w:tcPr>
            <w:tcW w:w="7724"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6,020</w:t>
            </w:r>
          </w:p>
        </w:tc>
        <w:tc>
          <w:tcPr>
            <w:tcW w:w="111" w:type="dxa"/>
            <w:tcBorders/>
            <w:shd w:fill="CCEEFF" w:val="clear"/>
            <w:vAlign w:val="center"/>
          </w:tcPr>
          <w:p>
            <w:pPr>
              <w:pStyle w:val="TableContents"/>
              <w:bidi w:val="0"/>
              <w:spacing w:before="0" w:after="283"/>
              <w:jc w:val="left"/>
              <w:rPr/>
            </w:pPr>
            <w:r>
              <w:rPr/>
              <w:t> </w:t>
            </w:r>
          </w:p>
        </w:tc>
      </w:tr>
      <w:tr>
        <w:trPr/>
        <w:tc>
          <w:tcPr>
            <w:tcW w:w="7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5" w:name="xdx_40B_eus-gaap--LiabilitiesNoncurrentA"/>
            <w:bookmarkEnd w:id="55"/>
          </w:p>
        </w:tc>
      </w:tr>
      <w:tr>
        <w:trPr/>
        <w:tc>
          <w:tcPr>
            <w:tcW w:w="7724"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6" w:name="xdx_402_eus-gaap--OperatingLeaseLiabilit"/>
            <w:bookmarkEnd w:id="56"/>
          </w:p>
        </w:tc>
      </w:tr>
      <w:tr>
        <w:trPr/>
        <w:tc>
          <w:tcPr>
            <w:tcW w:w="7724"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1,038</w:t>
            </w:r>
          </w:p>
        </w:tc>
        <w:tc>
          <w:tcPr>
            <w:tcW w:w="111" w:type="dxa"/>
            <w:tcBorders/>
            <w:shd w:fill="FFFFFF" w:val="clear"/>
            <w:vAlign w:val="center"/>
          </w:tcPr>
          <w:p>
            <w:pPr>
              <w:pStyle w:val="TableContents"/>
              <w:bidi w:val="0"/>
              <w:spacing w:before="0" w:after="283"/>
              <w:jc w:val="left"/>
              <w:rPr/>
            </w:pPr>
            <w:r>
              <w:rPr/>
              <w:t> </w:t>
            </w:r>
            <w:bookmarkStart w:id="57" w:name="xdx_409_eus-gaap--PensionAndOtherPostret"/>
            <w:bookmarkEnd w:id="57"/>
          </w:p>
        </w:tc>
      </w:tr>
      <w:tr>
        <w:trPr/>
        <w:tc>
          <w:tcPr>
            <w:tcW w:w="7724" w:type="dxa"/>
            <w:tcBorders/>
            <w:shd w:fill="CCEEFF" w:val="clear"/>
            <w:vAlign w:val="center"/>
          </w:tcPr>
          <w:p>
            <w:pPr>
              <w:pStyle w:val="TableContents"/>
              <w:bidi w:val="0"/>
              <w:spacing w:before="0" w:after="283"/>
              <w:jc w:val="left"/>
              <w:rPr/>
            </w:pPr>
            <w:r>
              <w:rPr/>
              <w:t>Liability for employees rights upon retirement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1,084</w:t>
            </w:r>
          </w:p>
        </w:tc>
        <w:tc>
          <w:tcPr>
            <w:tcW w:w="111" w:type="dxa"/>
            <w:tcBorders/>
            <w:shd w:fill="CCEEFF" w:val="clear"/>
            <w:vAlign w:val="center"/>
          </w:tcPr>
          <w:p>
            <w:pPr>
              <w:pStyle w:val="TableContents"/>
              <w:bidi w:val="0"/>
              <w:spacing w:before="0" w:after="283"/>
              <w:jc w:val="left"/>
              <w:rPr/>
            </w:pPr>
            <w:r>
              <w:rPr/>
              <w:t> </w:t>
            </w:r>
          </w:p>
        </w:tc>
      </w:tr>
      <w:tr>
        <w:trPr/>
        <w:tc>
          <w:tcPr>
            <w:tcW w:w="7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8" w:name="xdx_40D_eus-gaap--LiabilitiesNoncurrent_"/>
            <w:bookmarkEnd w:id="58"/>
          </w:p>
        </w:tc>
      </w:tr>
      <w:tr>
        <w:trPr/>
        <w:tc>
          <w:tcPr>
            <w:tcW w:w="7724" w:type="dxa"/>
            <w:tcBorders/>
            <w:shd w:fill="CCEEFF" w:val="clear"/>
            <w:vAlign w:val="center"/>
          </w:tcPr>
          <w:p>
            <w:pPr>
              <w:pStyle w:val="TableContents"/>
              <w:bidi w:val="0"/>
              <w:spacing w:before="0" w:after="283"/>
              <w:jc w:val="left"/>
              <w:rPr>
                <w:b/>
              </w:rPr>
            </w:pPr>
            <w:r>
              <w:rPr>
                <w:b/>
              </w:rPr>
              <w:t>TOTAL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2,122</w:t>
            </w:r>
          </w:p>
        </w:tc>
        <w:tc>
          <w:tcPr>
            <w:tcW w:w="111" w:type="dxa"/>
            <w:tcBorders/>
            <w:shd w:fill="CCEEFF" w:val="clear"/>
            <w:vAlign w:val="center"/>
          </w:tcPr>
          <w:p>
            <w:pPr>
              <w:pStyle w:val="TableContents"/>
              <w:bidi w:val="0"/>
              <w:spacing w:before="0" w:after="283"/>
              <w:jc w:val="left"/>
              <w:rPr/>
            </w:pPr>
            <w:r>
              <w:rPr/>
              <w:t> </w:t>
            </w:r>
          </w:p>
        </w:tc>
      </w:tr>
      <w:tr>
        <w:trPr/>
        <w:tc>
          <w:tcPr>
            <w:tcW w:w="7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9" w:name="xdx_40A_eus-gaap--CommitmentsAndContinge"/>
            <w:bookmarkEnd w:id="59"/>
          </w:p>
        </w:tc>
      </w:tr>
      <w:tr>
        <w:trPr/>
        <w:tc>
          <w:tcPr>
            <w:tcW w:w="7724" w:type="dxa"/>
            <w:tcBorders/>
            <w:shd w:fill="CCEEFF" w:val="clear"/>
            <w:vAlign w:val="center"/>
          </w:tcPr>
          <w:p>
            <w:pPr>
              <w:pStyle w:val="TableContents"/>
              <w:bidi w:val="0"/>
              <w:spacing w:before="0" w:after="283"/>
              <w:jc w:val="left"/>
              <w:rPr>
                <w:b/>
              </w:rPr>
            </w:pPr>
            <w:r>
              <w:rPr>
                <w:b/>
              </w:rPr>
              <w:t>COMMITMENTS AND CONTINGENT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bookmarkStart w:id="60" w:name="xdx_404_eus-gaap--Liabilities_i01TI_mtLz"/>
            <w:bookmarkEnd w:id="60"/>
          </w:p>
        </w:tc>
      </w:tr>
      <w:tr>
        <w:trPr/>
        <w:tc>
          <w:tcPr>
            <w:tcW w:w="7724"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pPr>
            <w:r>
              <w:rPr/>
              <w:t>8,142</w:t>
            </w:r>
          </w:p>
        </w:tc>
        <w:tc>
          <w:tcPr>
            <w:tcW w:w="111" w:type="dxa"/>
            <w:tcBorders/>
            <w:shd w:fill="FFFFFF" w:val="clear"/>
            <w:vAlign w:val="center"/>
          </w:tcPr>
          <w:p>
            <w:pPr>
              <w:pStyle w:val="TableContents"/>
              <w:bidi w:val="0"/>
              <w:spacing w:before="0" w:after="283"/>
              <w:jc w:val="left"/>
              <w:rPr/>
            </w:pPr>
            <w:r>
              <w:rPr/>
              <w:t> </w:t>
            </w:r>
          </w:p>
        </w:tc>
      </w:tr>
      <w:tr>
        <w:trPr/>
        <w:tc>
          <w:tcPr>
            <w:tcW w:w="77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1" w:name="xdx_402_eus-gaap--StockholdersEquityAbst"/>
            <w:bookmarkEnd w:id="61"/>
          </w:p>
        </w:tc>
      </w:tr>
      <w:tr>
        <w:trPr/>
        <w:tc>
          <w:tcPr>
            <w:tcW w:w="7724"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7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2" w:name="xdx_405_eus-gaap--CommonStockValue_i02I_"/>
            <w:bookmarkEnd w:id="62"/>
          </w:p>
        </w:tc>
      </w:tr>
      <w:tr>
        <w:trPr/>
        <w:tc>
          <w:tcPr>
            <w:tcW w:w="7724" w:type="dxa"/>
            <w:tcBorders/>
            <w:shd w:fill="FFFFFF" w:val="clear"/>
            <w:vAlign w:val="center"/>
          </w:tcPr>
          <w:p>
            <w:pPr>
              <w:pStyle w:val="TableContents"/>
              <w:bidi w:val="0"/>
              <w:spacing w:before="0" w:after="283"/>
              <w:jc w:val="left"/>
              <w:rPr/>
            </w:pPr>
            <w:r>
              <w:rPr/>
              <w:t>Common stock, par value $</w:t>
            </w:r>
            <w:bookmarkStart w:id="63" w:name="xdx_90B_eus-gaap--CommonStockParOrStated"/>
            <w:bookmarkStart w:id="64" w:name="xdx_905_eus-gaap--CommonStockParOrStated"/>
            <w:bookmarkEnd w:id="63"/>
            <w:bookmarkEnd w:id="64"/>
            <w:r>
              <w:rPr/>
              <w:t xml:space="preserve">0.0001 per share; </w:t>
            </w:r>
            <w:bookmarkStart w:id="65" w:name="xdx_906_eus-gaap--CommonStockSharesAutho"/>
            <w:bookmarkStart w:id="66" w:name="xdx_90A_eus-gaap--CommonStockSharesAutho"/>
            <w:bookmarkEnd w:id="65"/>
            <w:bookmarkEnd w:id="66"/>
            <w:r>
              <w:rPr/>
              <w:t xml:space="preserve">150,000,000 shares authorized at March 31, 2024 and December 31, 2023; </w:t>
            </w:r>
            <w:bookmarkStart w:id="67" w:name="xdx_90A_eus-gaap--CommonStockSharesOutst"/>
            <w:bookmarkStart w:id="68" w:name="xdx_909_eus-gaap--CommonStockSharesIssue"/>
            <w:bookmarkEnd w:id="67"/>
            <w:bookmarkEnd w:id="68"/>
            <w:r>
              <w:rPr/>
              <w:t xml:space="preserve">23,412,385 and </w:t>
            </w:r>
            <w:bookmarkStart w:id="69" w:name="xdx_906_eus-gaap--CommonStockSharesOutst"/>
            <w:bookmarkStart w:id="70" w:name="xdx_90F_eus-gaap--CommonStockSharesIssue"/>
            <w:bookmarkEnd w:id="69"/>
            <w:bookmarkEnd w:id="70"/>
            <w:r>
              <w:rPr/>
              <w:t>21,841,215 shares issued and outstanding at March 31, 2024 and December 2023,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xml:space="preserve">2 </w:t>
            </w:r>
          </w:p>
        </w:tc>
        <w:tc>
          <w:tcPr>
            <w:tcW w:w="111" w:type="dxa"/>
            <w:tcBorders/>
            <w:shd w:fill="FFFFFF" w:val="clear"/>
            <w:vAlign w:val="center"/>
          </w:tcPr>
          <w:p>
            <w:pPr>
              <w:pStyle w:val="TableContents"/>
              <w:bidi w:val="0"/>
              <w:spacing w:before="0" w:after="283"/>
              <w:jc w:val="left"/>
              <w:rPr/>
            </w:pPr>
            <w:r>
              <w:rPr/>
              <w:t> </w:t>
            </w:r>
            <w:bookmarkStart w:id="71" w:name="xdx_403_eus-gaap--PreferredStockValue_i0"/>
            <w:bookmarkEnd w:id="71"/>
          </w:p>
        </w:tc>
      </w:tr>
      <w:tr>
        <w:trPr/>
        <w:tc>
          <w:tcPr>
            <w:tcW w:w="7724" w:type="dxa"/>
            <w:tcBorders/>
            <w:shd w:fill="CCEEFF" w:val="clear"/>
            <w:vAlign w:val="center"/>
          </w:tcPr>
          <w:p>
            <w:pPr>
              <w:pStyle w:val="TableContents"/>
              <w:bidi w:val="0"/>
              <w:spacing w:before="0" w:after="283"/>
              <w:jc w:val="left"/>
              <w:rPr/>
            </w:pPr>
            <w:r>
              <w:rPr/>
              <w:t>Preferred C shares, par value $</w:t>
            </w:r>
            <w:bookmarkStart w:id="72" w:name="xdx_903_eus-gaap--PreferredStockParOrSta"/>
            <w:bookmarkStart w:id="73" w:name="xdx_900_eus-gaap--PreferredStockParOrSta"/>
            <w:bookmarkEnd w:id="72"/>
            <w:bookmarkEnd w:id="73"/>
            <w:r>
              <w:rPr/>
              <w:t xml:space="preserve">0.0001 per share; </w:t>
              <w:br/>
            </w:r>
            <w:bookmarkStart w:id="74" w:name="xdx_907_eus-gaap--PreferredStockSharesAu"/>
            <w:bookmarkStart w:id="75" w:name="xdx_904_eus-gaap--PreferredStockSharesAu"/>
            <w:bookmarkEnd w:id="74"/>
            <w:bookmarkEnd w:id="75"/>
            <w:r>
              <w:rPr/>
              <w:t xml:space="preserve">1,172,000 shares authorized at March 31, 2024 and December 31, 2023; </w:t>
            </w:r>
            <w:bookmarkStart w:id="76" w:name="xdx_909_eus-gaap--PreferredStockSharesOu"/>
            <w:bookmarkStart w:id="77" w:name="xdx_902_eus-gaap--PreferredStockSharesOu"/>
            <w:bookmarkStart w:id="78" w:name="xdx_90A_eus-gaap--PreferredStockSharesIs"/>
            <w:bookmarkStart w:id="79" w:name="xdx_907_eus-gaap--PreferredStockSharesIs"/>
            <w:bookmarkEnd w:id="76"/>
            <w:bookmarkEnd w:id="77"/>
            <w:bookmarkEnd w:id="78"/>
            <w:bookmarkEnd w:id="79"/>
            <w:r>
              <w:rPr/>
              <w:t>1,718 shares issued and outstanding at March 31,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right"/>
              <w:rPr/>
            </w:pPr>
            <w:r>
              <w:rPr>
                <w:rFonts w:ascii="Times New Roman;Times;Serif" w:hAnsi="Times New Roman;Times;Serif"/>
                <w:sz w:val="20"/>
              </w:rPr>
              <w:t>-</w:t>
            </w:r>
            <w:bookmarkStart w:id="80" w:name="xdx_F25_zyueW1sOuXwk"/>
            <w:bookmarkEnd w:id="80"/>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984" w:type="dxa"/>
            <w:tcBorders/>
            <w:shd w:fill="CCEEFF" w:val="clear"/>
            <w:vAlign w:val="center"/>
          </w:tcPr>
          <w:p>
            <w:pPr>
              <w:pStyle w:val="TableContents"/>
              <w:bidi w:val="0"/>
              <w:spacing w:before="0" w:after="283"/>
              <w:jc w:val="right"/>
              <w:rPr/>
            </w:pPr>
            <w:r>
              <w:rPr>
                <w:rFonts w:ascii="Times New Roman;Times;Serif" w:hAnsi="Times New Roman;Times;Serif"/>
                <w:sz w:val="20"/>
              </w:rPr>
              <w:t xml:space="preserve">- </w:t>
            </w:r>
            <w:bookmarkStart w:id="81" w:name="xdx_F2C_zK55Lh6jUARd"/>
            <w:bookmarkEnd w:id="81"/>
            <w:r>
              <w:rPr/>
              <w:t>*</w:t>
            </w:r>
          </w:p>
        </w:tc>
        <w:tc>
          <w:tcPr>
            <w:tcW w:w="111" w:type="dxa"/>
            <w:tcBorders/>
            <w:shd w:fill="CCEEFF" w:val="clear"/>
            <w:vAlign w:val="center"/>
          </w:tcPr>
          <w:p>
            <w:pPr>
              <w:pStyle w:val="TableContents"/>
              <w:bidi w:val="0"/>
              <w:spacing w:before="0" w:after="283"/>
              <w:jc w:val="left"/>
              <w:rPr/>
            </w:pPr>
            <w:r>
              <w:rPr/>
              <w:t> </w:t>
            </w:r>
            <w:bookmarkStart w:id="82" w:name="xdx_407_eus-gaap--AdditionalPaidInCapita"/>
            <w:bookmarkEnd w:id="82"/>
          </w:p>
        </w:tc>
      </w:tr>
      <w:tr>
        <w:trPr/>
        <w:tc>
          <w:tcPr>
            <w:tcW w:w="772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263,618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261,000</w:t>
            </w:r>
          </w:p>
        </w:tc>
        <w:tc>
          <w:tcPr>
            <w:tcW w:w="111" w:type="dxa"/>
            <w:tcBorders/>
            <w:shd w:fill="FFFFFF" w:val="clear"/>
            <w:vAlign w:val="center"/>
          </w:tcPr>
          <w:p>
            <w:pPr>
              <w:pStyle w:val="TableContents"/>
              <w:bidi w:val="0"/>
              <w:spacing w:before="0" w:after="283"/>
              <w:jc w:val="left"/>
              <w:rPr/>
            </w:pPr>
            <w:r>
              <w:rPr/>
              <w:t> </w:t>
            </w:r>
            <w:bookmarkStart w:id="83" w:name="xdx_407_eus-gaap--RetainedEarningsAccumu"/>
            <w:bookmarkEnd w:id="83"/>
          </w:p>
        </w:tc>
      </w:tr>
      <w:tr>
        <w:trPr/>
        <w:tc>
          <w:tcPr>
            <w:tcW w:w="7724"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(228,533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(221,501</w:t>
            </w:r>
          </w:p>
        </w:tc>
        <w:tc>
          <w:tcPr>
            <w:tcW w:w="111" w:type="dxa"/>
            <w:tcBorders/>
            <w:shd w:fill="CCEEFF" w:val="clear"/>
            <w:vAlign w:val="center"/>
          </w:tcPr>
          <w:p>
            <w:pPr>
              <w:pStyle w:val="TableContents"/>
              <w:bidi w:val="0"/>
              <w:spacing w:before="0" w:after="283"/>
              <w:jc w:val="left"/>
              <w:rPr/>
            </w:pPr>
            <w:r>
              <w:rPr/>
              <w:t>)</w:t>
            </w:r>
            <w:bookmarkStart w:id="84" w:name="xdx_40A_eus-gaap--StockholdersEquity_i02"/>
            <w:bookmarkEnd w:id="84"/>
          </w:p>
        </w:tc>
      </w:tr>
      <w:tr>
        <w:trPr/>
        <w:tc>
          <w:tcPr>
            <w:tcW w:w="7724"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pPr>
            <w:r>
              <w:rPr/>
              <w:t>39,501</w:t>
            </w:r>
          </w:p>
        </w:tc>
        <w:tc>
          <w:tcPr>
            <w:tcW w:w="111" w:type="dxa"/>
            <w:tcBorders/>
            <w:shd w:fill="FFFFFF" w:val="clear"/>
            <w:vAlign w:val="center"/>
          </w:tcPr>
          <w:p>
            <w:pPr>
              <w:pStyle w:val="TableContents"/>
              <w:bidi w:val="0"/>
              <w:spacing w:before="0" w:after="283"/>
              <w:jc w:val="left"/>
              <w:rPr/>
            </w:pPr>
            <w:r>
              <w:rPr/>
              <w:t> </w:t>
            </w:r>
            <w:bookmarkStart w:id="85" w:name="xdx_405_eus-gaap--LiabilitiesAndStockhol"/>
            <w:bookmarkEnd w:id="85"/>
          </w:p>
        </w:tc>
      </w:tr>
      <w:tr>
        <w:trPr/>
        <w:tc>
          <w:tcPr>
            <w:tcW w:w="7724" w:type="dxa"/>
            <w:tcBorders/>
            <w:shd w:fill="CCEEFF" w:val="clear"/>
            <w:vAlign w:val="center"/>
          </w:tcPr>
          <w:p>
            <w:pPr>
              <w:pStyle w:val="TableContents"/>
              <w:bidi w:val="0"/>
              <w:spacing w:before="0" w:after="283"/>
              <w:jc w:val="left"/>
              <w:rPr/>
            </w:pPr>
            <w:r>
              <w:rPr/>
              <w:t>Total 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42,028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47,643</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40"/>
        <w:gridCol w:w="3620"/>
      </w:tblGrid>
      <w:tr>
        <w:trPr/>
        <w:tc>
          <w:tcPr>
            <w:tcW w:w="14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86" w:name="xdx_F03_z6OMPXoSiwpg"/>
            <w:bookmarkEnd w:id="86"/>
            <w:r>
              <w:rPr>
                <w:rFonts w:ascii="Times New Roman;Times;Serif" w:hAnsi="Times New Roman;Times;Serif"/>
                <w:b/>
                <w:i w:val="false"/>
                <w:caps w:val="false"/>
                <w:smallCaps w:val="false"/>
                <w:sz w:val="20"/>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7" w:name="xdx_F10_z7NfATkTuea9"/>
            <w:bookmarkEnd w:id="87"/>
            <w:r>
              <w:rPr>
                <w:rFonts w:ascii="Times New Roman;Times;Serif" w:hAnsi="Times New Roman;Times;Serif"/>
                <w:b w:val="false"/>
                <w:i w:val="false"/>
                <w:caps w:val="false"/>
                <w:smallCaps w:val="false"/>
                <w:sz w:val="20"/>
              </w:rPr>
              <w:t>Represents an amount less than $1 thousand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 w:name="a_002"/>
      <w:bookmarkEnd w:id="88"/>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9" w:name="xdx_30F_113_pn3n3_zq7za7F9Frac"/>
      <w:bookmarkStart w:id="90" w:name="xdx_30F_113_pn3n3_zq7za7F9Frac"/>
      <w:bookmarkEnd w:id="90"/>
    </w:p>
    <w:tbl>
      <w:tblPr>
        <w:tblW w:w="10205" w:type="dxa"/>
        <w:jc w:val="left"/>
        <w:tblInd w:w="0" w:type="dxa"/>
        <w:tblLayout w:type="fixed"/>
        <w:tblCellMar>
          <w:top w:w="0" w:type="dxa"/>
          <w:left w:w="0" w:type="dxa"/>
          <w:bottom w:w="0" w:type="dxa"/>
          <w:right w:w="0" w:type="dxa"/>
        </w:tblCellMar>
      </w:tblPr>
      <w:tblGrid>
        <w:gridCol w:w="7376"/>
        <w:gridCol w:w="60"/>
        <w:gridCol w:w="147"/>
        <w:gridCol w:w="1162"/>
        <w:gridCol w:w="100"/>
        <w:gridCol w:w="63"/>
        <w:gridCol w:w="147"/>
        <w:gridCol w:w="1035"/>
        <w:gridCol w:w="115"/>
      </w:tblGrid>
      <w:tr>
        <w:trPr/>
        <w:tc>
          <w:tcPr>
            <w:tcW w:w="73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1" w:name="xdx_498_20240101__20240331_zAuorvVRxH63"/>
            <w:bookmarkEnd w:id="91"/>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92" w:name="xdx_496_20230101__20230331_zPEOWFYgpQc9"/>
            <w:bookmarkEnd w:id="92"/>
          </w:p>
        </w:tc>
        <w:tc>
          <w:tcPr>
            <w:tcW w:w="11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r>
      <w:tr>
        <w:trPr/>
        <w:tc>
          <w:tcPr>
            <w:tcW w:w="73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3 Months Ended March 31,</w:t>
            </w:r>
          </w:p>
        </w:tc>
        <w:tc>
          <w:tcPr>
            <w:tcW w:w="115" w:type="dxa"/>
            <w:tcBorders/>
            <w:vAlign w:val="center"/>
          </w:tcPr>
          <w:p>
            <w:pPr>
              <w:pStyle w:val="TableContents"/>
              <w:bidi w:val="0"/>
              <w:spacing w:before="0" w:after="283"/>
              <w:jc w:val="left"/>
              <w:rPr/>
            </w:pPr>
            <w:r>
              <w:rPr/>
              <w:t> </w:t>
            </w:r>
          </w:p>
        </w:tc>
      </w:tr>
      <w:tr>
        <w:trPr/>
        <w:tc>
          <w:tcPr>
            <w:tcW w:w="73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r>
      <w:tr>
        <w:trPr/>
        <w:tc>
          <w:tcPr>
            <w:tcW w:w="73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bookmarkStart w:id="93" w:name="xdx_40E_eus-gaap--RevenueFromContractWit"/>
            <w:bookmarkEnd w:id="93"/>
          </w:p>
        </w:tc>
      </w:tr>
      <w:tr>
        <w:trPr/>
        <w:tc>
          <w:tcPr>
            <w:tcW w:w="7376"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1,511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1,239</w:t>
            </w:r>
          </w:p>
        </w:tc>
        <w:tc>
          <w:tcPr>
            <w:tcW w:w="115" w:type="dxa"/>
            <w:tcBorders/>
            <w:shd w:fill="CCEEFF" w:val="clear"/>
            <w:vAlign w:val="center"/>
          </w:tcPr>
          <w:p>
            <w:pPr>
              <w:pStyle w:val="TableContents"/>
              <w:bidi w:val="0"/>
              <w:spacing w:before="0" w:after="283"/>
              <w:jc w:val="left"/>
              <w:rPr/>
            </w:pPr>
            <w:r>
              <w:rPr/>
              <w:t> </w:t>
            </w:r>
            <w:bookmarkStart w:id="94" w:name="xdx_400_eus-gaap--CostOfGoodsAndServices"/>
            <w:bookmarkEnd w:id="94"/>
          </w:p>
        </w:tc>
      </w:tr>
      <w:tr>
        <w:trPr/>
        <w:tc>
          <w:tcPr>
            <w:tcW w:w="7376"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FFFFFF" w:val="clear"/>
            <w:tcMar>
              <w:bottom w:w="28" w:type="dxa"/>
            </w:tcMar>
            <w:vAlign w:val="center"/>
          </w:tcPr>
          <w:p>
            <w:pPr>
              <w:pStyle w:val="TableContents"/>
              <w:bidi w:val="0"/>
              <w:spacing w:before="0" w:after="283"/>
              <w:jc w:val="right"/>
              <w:rPr/>
            </w:pPr>
            <w:r>
              <w:rPr/>
              <w:t>1,219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FFFFFF" w:val="clear"/>
            <w:tcMar>
              <w:bottom w:w="28" w:type="dxa"/>
            </w:tcMar>
            <w:vAlign w:val="center"/>
          </w:tcPr>
          <w:p>
            <w:pPr>
              <w:pStyle w:val="TableContents"/>
              <w:bidi w:val="0"/>
              <w:spacing w:before="0" w:after="283"/>
              <w:jc w:val="right"/>
              <w:rPr/>
            </w:pPr>
            <w:r>
              <w:rPr/>
              <w:t>866</w:t>
            </w:r>
          </w:p>
        </w:tc>
        <w:tc>
          <w:tcPr>
            <w:tcW w:w="115" w:type="dxa"/>
            <w:tcBorders/>
            <w:shd w:fill="FFFFFF" w:val="clear"/>
            <w:vAlign w:val="center"/>
          </w:tcPr>
          <w:p>
            <w:pPr>
              <w:pStyle w:val="TableContents"/>
              <w:bidi w:val="0"/>
              <w:spacing w:before="0" w:after="283"/>
              <w:jc w:val="left"/>
              <w:rPr/>
            </w:pPr>
            <w:r>
              <w:rPr/>
              <w:t> </w:t>
            </w:r>
            <w:bookmarkStart w:id="95" w:name="xdx_409_eus-gaap--GrossProfit_iT_mtGPzZR"/>
            <w:bookmarkEnd w:id="95"/>
          </w:p>
        </w:tc>
      </w:tr>
      <w:tr>
        <w:trPr/>
        <w:tc>
          <w:tcPr>
            <w:tcW w:w="7376"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center"/>
          </w:tcPr>
          <w:p>
            <w:pPr>
              <w:pStyle w:val="TableContents"/>
              <w:bidi w:val="0"/>
              <w:spacing w:before="0" w:after="283"/>
              <w:jc w:val="right"/>
              <w:rPr/>
            </w:pPr>
            <w:r>
              <w:rPr/>
              <w:t>292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pPr>
            <w:r>
              <w:rPr/>
              <w:t>373</w:t>
            </w:r>
          </w:p>
        </w:tc>
        <w:tc>
          <w:tcPr>
            <w:tcW w:w="115" w:type="dxa"/>
            <w:tcBorders/>
            <w:shd w:fill="CCEEFF" w:val="clear"/>
            <w:vAlign w:val="center"/>
          </w:tcPr>
          <w:p>
            <w:pPr>
              <w:pStyle w:val="TableContents"/>
              <w:bidi w:val="0"/>
              <w:spacing w:before="0" w:after="283"/>
              <w:jc w:val="left"/>
              <w:rPr/>
            </w:pPr>
            <w:r>
              <w:rPr/>
              <w:t> </w:t>
            </w:r>
            <w:bookmarkStart w:id="96" w:name="xdx_40A_eus-gaap--OperatingExpensesAbstr"/>
            <w:bookmarkEnd w:id="96"/>
          </w:p>
        </w:tc>
      </w:tr>
      <w:tr>
        <w:trPr/>
        <w:tc>
          <w:tcPr>
            <w:tcW w:w="7376"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97" w:name="xdx_403_eus-gaap--ResearchAndDevelopment"/>
            <w:bookmarkEnd w:id="97"/>
          </w:p>
        </w:tc>
      </w:tr>
      <w:tr>
        <w:trPr/>
        <w:tc>
          <w:tcPr>
            <w:tcW w:w="7376"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2,625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1,843</w:t>
            </w:r>
          </w:p>
        </w:tc>
        <w:tc>
          <w:tcPr>
            <w:tcW w:w="115" w:type="dxa"/>
            <w:tcBorders/>
            <w:shd w:fill="CCEEFF" w:val="clear"/>
            <w:vAlign w:val="center"/>
          </w:tcPr>
          <w:p>
            <w:pPr>
              <w:pStyle w:val="TableContents"/>
              <w:bidi w:val="0"/>
              <w:spacing w:before="0" w:after="283"/>
              <w:jc w:val="left"/>
              <w:rPr/>
            </w:pPr>
            <w:r>
              <w:rPr/>
              <w:t> </w:t>
            </w:r>
            <w:bookmarkStart w:id="98" w:name="xdx_405_eus-gaap--SellingAndMarketingExp"/>
            <w:bookmarkEnd w:id="98"/>
          </w:p>
        </w:tc>
      </w:tr>
      <w:tr>
        <w:trPr/>
        <w:tc>
          <w:tcPr>
            <w:tcW w:w="7376"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1,237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788</w:t>
            </w:r>
          </w:p>
        </w:tc>
        <w:tc>
          <w:tcPr>
            <w:tcW w:w="115" w:type="dxa"/>
            <w:tcBorders/>
            <w:shd w:fill="FFFFFF" w:val="clear"/>
            <w:vAlign w:val="center"/>
          </w:tcPr>
          <w:p>
            <w:pPr>
              <w:pStyle w:val="TableContents"/>
              <w:bidi w:val="0"/>
              <w:spacing w:before="0" w:after="283"/>
              <w:jc w:val="left"/>
              <w:rPr/>
            </w:pPr>
            <w:r>
              <w:rPr/>
              <w:t> </w:t>
            </w:r>
            <w:bookmarkStart w:id="99" w:name="xdx_40D_eus-gaap--GeneralAndAdministrati"/>
            <w:bookmarkEnd w:id="99"/>
          </w:p>
        </w:tc>
      </w:tr>
      <w:tr>
        <w:trPr/>
        <w:tc>
          <w:tcPr>
            <w:tcW w:w="7376"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center"/>
          </w:tcPr>
          <w:p>
            <w:pPr>
              <w:pStyle w:val="TableContents"/>
              <w:bidi w:val="0"/>
              <w:spacing w:before="0" w:after="283"/>
              <w:jc w:val="right"/>
              <w:rPr/>
            </w:pPr>
            <w:r>
              <w:rPr/>
              <w:t>3,844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pPr>
            <w:r>
              <w:rPr/>
              <w:t>2,123</w:t>
            </w:r>
          </w:p>
        </w:tc>
        <w:tc>
          <w:tcPr>
            <w:tcW w:w="115" w:type="dxa"/>
            <w:tcBorders/>
            <w:shd w:fill="CCEEFF" w:val="clear"/>
            <w:vAlign w:val="center"/>
          </w:tcPr>
          <w:p>
            <w:pPr>
              <w:pStyle w:val="TableContents"/>
              <w:bidi w:val="0"/>
              <w:spacing w:before="0" w:after="283"/>
              <w:jc w:val="left"/>
              <w:rPr/>
            </w:pPr>
            <w:r>
              <w:rPr/>
              <w:t> </w:t>
            </w:r>
            <w:bookmarkStart w:id="100" w:name="xdx_40A_eus-gaap--OperatingExpenses_i01T"/>
            <w:bookmarkEnd w:id="100"/>
          </w:p>
        </w:tc>
      </w:tr>
      <w:tr>
        <w:trPr/>
        <w:tc>
          <w:tcPr>
            <w:tcW w:w="7376"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FFFFFF" w:val="clear"/>
            <w:tcMar>
              <w:bottom w:w="28" w:type="dxa"/>
            </w:tcMar>
            <w:vAlign w:val="center"/>
          </w:tcPr>
          <w:p>
            <w:pPr>
              <w:pStyle w:val="TableContents"/>
              <w:bidi w:val="0"/>
              <w:spacing w:before="0" w:after="283"/>
              <w:jc w:val="right"/>
              <w:rPr/>
            </w:pPr>
            <w:r>
              <w:rPr/>
              <w:t>7,706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FFFFFF" w:val="clear"/>
            <w:tcMar>
              <w:bottom w:w="28" w:type="dxa"/>
            </w:tcMar>
            <w:vAlign w:val="center"/>
          </w:tcPr>
          <w:p>
            <w:pPr>
              <w:pStyle w:val="TableContents"/>
              <w:bidi w:val="0"/>
              <w:spacing w:before="0" w:after="283"/>
              <w:jc w:val="right"/>
              <w:rPr/>
            </w:pPr>
            <w:r>
              <w:rPr/>
              <w:t>4,754</w:t>
            </w:r>
          </w:p>
        </w:tc>
        <w:tc>
          <w:tcPr>
            <w:tcW w:w="115" w:type="dxa"/>
            <w:tcBorders/>
            <w:shd w:fill="FFFFFF" w:val="clear"/>
            <w:vAlign w:val="center"/>
          </w:tcPr>
          <w:p>
            <w:pPr>
              <w:pStyle w:val="TableContents"/>
              <w:bidi w:val="0"/>
              <w:spacing w:before="0" w:after="283"/>
              <w:jc w:val="left"/>
              <w:rPr/>
            </w:pPr>
            <w:r>
              <w:rPr/>
              <w:t> </w:t>
            </w:r>
            <w:bookmarkStart w:id="101" w:name="xdx_407_eus-gaap--OperatingIncomeLoss_iT"/>
            <w:bookmarkEnd w:id="101"/>
          </w:p>
        </w:tc>
      </w:tr>
      <w:tr>
        <w:trPr/>
        <w:tc>
          <w:tcPr>
            <w:tcW w:w="7376"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(7,414</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(4,381</w:t>
            </w:r>
          </w:p>
        </w:tc>
        <w:tc>
          <w:tcPr>
            <w:tcW w:w="115" w:type="dxa"/>
            <w:tcBorders/>
            <w:shd w:fill="CCEEFF" w:val="clear"/>
            <w:vAlign w:val="center"/>
          </w:tcPr>
          <w:p>
            <w:pPr>
              <w:pStyle w:val="TableContents"/>
              <w:bidi w:val="0"/>
              <w:spacing w:before="0" w:after="283"/>
              <w:jc w:val="left"/>
              <w:rPr/>
            </w:pPr>
            <w:r>
              <w:rPr/>
              <w:t>)</w:t>
            </w:r>
            <w:bookmarkStart w:id="102" w:name="xdx_407_eus-gaap--NonoperatingIncomeExpe"/>
            <w:bookmarkEnd w:id="102"/>
          </w:p>
        </w:tc>
      </w:tr>
      <w:tr>
        <w:trPr/>
        <w:tc>
          <w:tcPr>
            <w:tcW w:w="7376" w:type="dxa"/>
            <w:tcBorders/>
            <w:shd w:fill="FFFFFF" w:val="clear"/>
            <w:vAlign w:val="center"/>
          </w:tcPr>
          <w:p>
            <w:pPr>
              <w:pStyle w:val="TableContents"/>
              <w:bidi w:val="0"/>
              <w:spacing w:before="0" w:after="283"/>
              <w:jc w:val="left"/>
              <w:rPr>
                <w:b/>
              </w:rPr>
            </w:pPr>
            <w:r>
              <w:rPr>
                <w:b/>
              </w:rPr>
              <w:t>FINANCIAL INCOME,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382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125</w:t>
            </w:r>
          </w:p>
        </w:tc>
        <w:tc>
          <w:tcPr>
            <w:tcW w:w="115" w:type="dxa"/>
            <w:tcBorders/>
            <w:shd w:fill="FFFFFF" w:val="clear"/>
            <w:vAlign w:val="center"/>
          </w:tcPr>
          <w:p>
            <w:pPr>
              <w:pStyle w:val="TableContents"/>
              <w:bidi w:val="0"/>
              <w:spacing w:before="0" w:after="283"/>
              <w:jc w:val="left"/>
              <w:rPr/>
            </w:pPr>
            <w:r>
              <w:rPr/>
              <w:t> </w:t>
            </w:r>
            <w:bookmarkStart w:id="103" w:name="xdx_400_eus-gaap--NetIncomeLoss_iT_mtNIL"/>
            <w:bookmarkEnd w:id="103"/>
          </w:p>
        </w:tc>
      </w:tr>
      <w:tr>
        <w:trPr/>
        <w:tc>
          <w:tcPr>
            <w:tcW w:w="7376"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2" w:type="dxa"/>
            <w:tcBorders>
              <w:bottom w:val="single" w:sz="12" w:space="0" w:color="000000"/>
            </w:tcBorders>
            <w:shd w:fill="CCEEFF" w:val="clear"/>
            <w:tcMar>
              <w:bottom w:w="28" w:type="dxa"/>
            </w:tcMar>
            <w:vAlign w:val="center"/>
          </w:tcPr>
          <w:p>
            <w:pPr>
              <w:pStyle w:val="TableContents"/>
              <w:bidi w:val="0"/>
              <w:spacing w:before="0" w:after="283"/>
              <w:jc w:val="right"/>
              <w:rPr/>
            </w:pPr>
            <w:r>
              <w:rPr/>
              <w:t>(7,032</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pPr>
            <w:r>
              <w:rPr/>
              <w:t>(4,256</w:t>
            </w:r>
          </w:p>
        </w:tc>
        <w:tc>
          <w:tcPr>
            <w:tcW w:w="115" w:type="dxa"/>
            <w:tcBorders/>
            <w:shd w:fill="CCEEFF" w:val="clear"/>
            <w:vAlign w:val="center"/>
          </w:tcPr>
          <w:p>
            <w:pPr>
              <w:pStyle w:val="TableContents"/>
              <w:bidi w:val="0"/>
              <w:spacing w:before="0" w:after="283"/>
              <w:jc w:val="left"/>
              <w:rPr/>
            </w:pPr>
            <w:r>
              <w:rPr/>
              <w:t>)</w:t>
            </w:r>
          </w:p>
        </w:tc>
      </w:tr>
      <w:tr>
        <w:trPr/>
        <w:tc>
          <w:tcPr>
            <w:tcW w:w="7376" w:type="dxa"/>
            <w:tcBorders/>
            <w:shd w:fill="FFFFFF" w:val="clear"/>
            <w:vAlign w:val="center"/>
          </w:tcPr>
          <w:p>
            <w:pPr>
              <w:pStyle w:val="TableContents"/>
              <w:bidi w:val="0"/>
              <w:spacing w:before="0" w:after="283"/>
              <w:jc w:val="left"/>
              <w:rPr>
                <w:b/>
              </w:rPr>
            </w:pPr>
            <w:r>
              <w:rPr>
                <w:b/>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4" w:name="xdx_908_eus-gaap--EarningsPerShareDilute"/>
            <w:bookmarkStart w:id="105" w:name="xdx_902_eus-gaap--EarningsPerShareBasic_"/>
            <w:bookmarkEnd w:id="104"/>
            <w:bookmarkEnd w:id="105"/>
            <w:r>
              <w:rPr/>
              <w:t>(0.21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6" w:name="xdx_906_eus-gaap--EarningsPerShareDilute"/>
            <w:bookmarkStart w:id="107" w:name="xdx_90C_eus-gaap--EarningsPerShareBasic_"/>
            <w:bookmarkEnd w:id="106"/>
            <w:bookmarkEnd w:id="107"/>
            <w:r>
              <w:rPr/>
              <w:t>(0.53</w:t>
            </w:r>
          </w:p>
        </w:tc>
        <w:tc>
          <w:tcPr>
            <w:tcW w:w="115" w:type="dxa"/>
            <w:tcBorders/>
            <w:shd w:fill="FFFFFF" w:val="clear"/>
            <w:vAlign w:val="center"/>
          </w:tcPr>
          <w:p>
            <w:pPr>
              <w:pStyle w:val="TableContents"/>
              <w:bidi w:val="0"/>
              <w:spacing w:before="0" w:after="283"/>
              <w:jc w:val="left"/>
              <w:rPr/>
            </w:pPr>
            <w:r>
              <w:rPr/>
              <w:t>)</w:t>
            </w:r>
          </w:p>
        </w:tc>
      </w:tr>
      <w:tr>
        <w:trPr/>
        <w:tc>
          <w:tcPr>
            <w:tcW w:w="7376" w:type="dxa"/>
            <w:tcBorders/>
            <w:shd w:fill="CCEEFF" w:val="clear"/>
            <w:vAlign w:val="center"/>
          </w:tcPr>
          <w:p>
            <w:pPr>
              <w:pStyle w:val="TableContents"/>
              <w:bidi w:val="0"/>
              <w:spacing w:before="0" w:after="283"/>
              <w:jc w:val="left"/>
              <w:rPr>
                <w:b/>
              </w:rPr>
            </w:pPr>
            <w:r>
              <w:rPr>
                <w:b/>
              </w:rPr>
              <w:t>WEIGHTED AVERAGE NUMBER OF ORDINARY SHARES USED IN COMPUTING 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8" w:name="xdx_907_eus-gaap--WeightedAverageNumberO"/>
            <w:bookmarkStart w:id="109" w:name="xdx_90E_eus-gaap--WeightedAverageNumberO"/>
            <w:bookmarkEnd w:id="108"/>
            <w:bookmarkEnd w:id="109"/>
            <w:r>
              <w:rPr/>
              <w:t>34,242,976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0" w:name="xdx_909_eus-gaap--WeightedAverageNumberO"/>
            <w:bookmarkStart w:id="111" w:name="xdx_904_eus-gaap--WeightedAverageNumberO"/>
            <w:bookmarkEnd w:id="110"/>
            <w:bookmarkEnd w:id="111"/>
            <w:r>
              <w:rPr/>
              <w:t>8,093,340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bookmarkStart w:id="112" w:name="a_003"/>
      <w:bookmarkEnd w:id="112"/>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3" w:name="xdx_305_114_pn3n3_z3yuQF2Tvoca"/>
      <w:bookmarkStart w:id="114" w:name="xdx_305_114_pn3n3_z3yuQF2Tvoca"/>
      <w:bookmarkEnd w:id="114"/>
    </w:p>
    <w:tbl>
      <w:tblPr>
        <w:tblW w:w="10205" w:type="dxa"/>
        <w:jc w:val="left"/>
        <w:tblInd w:w="0" w:type="dxa"/>
        <w:tblLayout w:type="fixed"/>
        <w:tblCellMar>
          <w:top w:w="0" w:type="dxa"/>
          <w:left w:w="0" w:type="dxa"/>
          <w:bottom w:w="0" w:type="dxa"/>
          <w:right w:w="0" w:type="dxa"/>
        </w:tblCellMar>
      </w:tblPr>
      <w:tblGrid>
        <w:gridCol w:w="2565"/>
        <w:gridCol w:w="60"/>
        <w:gridCol w:w="60"/>
        <w:gridCol w:w="980"/>
        <w:gridCol w:w="95"/>
        <w:gridCol w:w="60"/>
        <w:gridCol w:w="117"/>
        <w:gridCol w:w="743"/>
        <w:gridCol w:w="60"/>
        <w:gridCol w:w="60"/>
        <w:gridCol w:w="68"/>
        <w:gridCol w:w="642"/>
        <w:gridCol w:w="60"/>
        <w:gridCol w:w="60"/>
        <w:gridCol w:w="135"/>
        <w:gridCol w:w="725"/>
        <w:gridCol w:w="60"/>
        <w:gridCol w:w="60"/>
        <w:gridCol w:w="76"/>
        <w:gridCol w:w="1024"/>
        <w:gridCol w:w="60"/>
        <w:gridCol w:w="60"/>
        <w:gridCol w:w="87"/>
        <w:gridCol w:w="1283"/>
        <w:gridCol w:w="95"/>
        <w:gridCol w:w="60"/>
        <w:gridCol w:w="60"/>
        <w:gridCol w:w="680"/>
        <w:gridCol w:w="110"/>
      </w:tblGrid>
      <w:tr>
        <w:trPr/>
        <w:tc>
          <w:tcPr>
            <w:tcW w:w="2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 w:name="xdx_4B9_us-gaap--StatementEquityComponen"/>
            <w:bookmarkEnd w:id="115"/>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BF_us-gaap--StatementEquityComponen"/>
            <w:bookmarkEnd w:id="116"/>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E_us-gaap--StatementEquityComponen"/>
            <w:bookmarkEnd w:id="117"/>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1_us-gaap--StatementEquityComponen"/>
            <w:bookmarkEnd w:id="118"/>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BB_z3qOMEi0kBO2"/>
            <w:bookmarkEnd w:id="119"/>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2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jc w:val="center"/>
              <w:rPr>
                <w:b/>
              </w:rPr>
            </w:pPr>
            <w:r>
              <w:rPr>
                <w:b/>
              </w:rPr>
              <w:t>Series C</w:t>
            </w:r>
          </w:p>
          <w:p>
            <w:pPr>
              <w:pStyle w:val="TableContents"/>
              <w:bidi w:val="0"/>
              <w:jc w:val="center"/>
              <w:rPr>
                <w:b/>
              </w:rPr>
            </w:pPr>
            <w:r>
              <w:rPr>
                <w:b/>
              </w:rPr>
              <w:t>Convertible</w:t>
            </w:r>
          </w:p>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jc w:val="center"/>
              <w:rPr>
                <w:b/>
              </w:rPr>
            </w:pPr>
            <w:r>
              <w:rPr>
                <w:b/>
              </w:rPr>
              <w:t>Additional</w:t>
            </w:r>
          </w:p>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2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120" w:name="xdx_436_c20230101__20230331_eus-gaap--St"/>
            <w:bookmarkEnd w:id="120"/>
          </w:p>
        </w:tc>
      </w:tr>
      <w:tr>
        <w:trPr/>
        <w:tc>
          <w:tcPr>
            <w:tcW w:w="2565" w:type="dxa"/>
            <w:tcBorders/>
            <w:shd w:fill="CCEEFF" w:val="clear"/>
            <w:vAlign w:val="center"/>
          </w:tcPr>
          <w:p>
            <w:pPr>
              <w:pStyle w:val="TableContents"/>
              <w:bidi w:val="0"/>
              <w:spacing w:before="0" w:after="283"/>
              <w:jc w:val="left"/>
              <w:rPr>
                <w:b/>
              </w:rPr>
            </w:pPr>
            <w:r>
              <w:rPr>
                <w:b/>
              </w:rPr>
              <w:t>BALANCE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 w:name="xdx_989_eus-gaap--SharesOutstanding_iS_p"/>
            <w:bookmarkEnd w:id="121"/>
          </w:p>
        </w:tc>
        <w:tc>
          <w:tcPr>
            <w:tcW w:w="980" w:type="dxa"/>
            <w:tcBorders/>
            <w:shd w:fill="CCEEFF" w:val="clear"/>
            <w:vAlign w:val="center"/>
          </w:tcPr>
          <w:p>
            <w:pPr>
              <w:pStyle w:val="TableContents"/>
              <w:bidi w:val="0"/>
              <w:spacing w:before="0" w:after="283"/>
              <w:jc w:val="right"/>
              <w:rPr>
                <w:b/>
              </w:rPr>
            </w:pPr>
            <w:r>
              <w:rPr>
                <w:b/>
              </w:rPr>
              <w:t>8,330,918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22" w:name="xdx_988_eus-gaap--SharesOutstanding_iS_p"/>
            <w:bookmarkEnd w:id="122"/>
          </w:p>
        </w:tc>
        <w:tc>
          <w:tcPr>
            <w:tcW w:w="642" w:type="dxa"/>
            <w:tcBorders/>
            <w:shd w:fill="CCEEFF" w:val="cle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bookmarkStart w:id="123" w:name="xdx_F2D_zaen3W0J9g3g"/>
            <w:bookmarkEnd w:id="123"/>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b/>
              </w:rPr>
            </w:pPr>
            <w:r>
              <w:rPr>
                <w:b/>
              </w:rPr>
              <w:t>218,977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(201,585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17,393</w:t>
            </w:r>
          </w:p>
        </w:tc>
        <w:tc>
          <w:tcPr>
            <w:tcW w:w="110" w:type="dxa"/>
            <w:tcBorders/>
            <w:shd w:fill="CCEEFF" w:val="clear"/>
            <w:vAlign w:val="center"/>
          </w:tcPr>
          <w:p>
            <w:pPr>
              <w:pStyle w:val="TableContents"/>
              <w:bidi w:val="0"/>
              <w:spacing w:before="0" w:after="283"/>
              <w:jc w:val="left"/>
              <w:rPr/>
            </w:pPr>
            <w:r>
              <w:rPr/>
              <w:t> </w:t>
            </w:r>
            <w:bookmarkStart w:id="124" w:name="xdx_407_eus-gaap--NetIncomeLoss_zPrfSq6Y"/>
            <w:bookmarkEnd w:id="124"/>
          </w:p>
        </w:tc>
      </w:tr>
      <w:tr>
        <w:trPr/>
        <w:tc>
          <w:tcPr>
            <w:tcW w:w="256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(4,256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(4,256</w:t>
            </w:r>
          </w:p>
        </w:tc>
        <w:tc>
          <w:tcPr>
            <w:tcW w:w="110" w:type="dxa"/>
            <w:tcBorders/>
            <w:shd w:fill="FFFFFF" w:val="clear"/>
            <w:vAlign w:val="center"/>
          </w:tcPr>
          <w:p>
            <w:pPr>
              <w:pStyle w:val="TableContents"/>
              <w:bidi w:val="0"/>
              <w:spacing w:before="0" w:after="283"/>
              <w:jc w:val="left"/>
              <w:rPr>
                <w:b/>
              </w:rPr>
            </w:pPr>
            <w:r>
              <w:rPr>
                <w:b/>
              </w:rPr>
              <w:t>)</w:t>
            </w:r>
            <w:bookmarkStart w:id="125" w:name="xdx_40B_ecustom--SharebasedCompensationR"/>
            <w:bookmarkEnd w:id="125"/>
          </w:p>
        </w:tc>
      </w:tr>
      <w:tr>
        <w:trPr/>
        <w:tc>
          <w:tcPr>
            <w:tcW w:w="2565" w:type="dxa"/>
            <w:tcBorders/>
            <w:shd w:fill="CCEEFF" w:val="clear"/>
            <w:vAlign w:val="center"/>
          </w:tcPr>
          <w:p>
            <w:pPr>
              <w:pStyle w:val="TableContents"/>
              <w:bidi w:val="0"/>
              <w:spacing w:before="0" w:after="283"/>
              <w:jc w:val="left"/>
              <w:rPr>
                <w:b/>
              </w:rPr>
            </w:pPr>
            <w:r>
              <w:rPr>
                <w:b/>
              </w:rPr>
              <w:t xml:space="preserve">Share-based compensation related to restricted stock, restricted stock units and stock options award, net of forfeitures of </w:t>
            </w:r>
            <w:bookmarkStart w:id="126" w:name="xdx_90B_eus-gaap--StockIssuedDuringPerio"/>
            <w:bookmarkEnd w:id="126"/>
            <w:r>
              <w:rPr>
                <w:b/>
              </w:rPr>
              <w:t>4,270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7" w:name="xdx_984_ecustom--SharebasedCompensationR"/>
            <w:bookmarkEnd w:id="127"/>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(4,270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289</w:t>
            </w:r>
          </w:p>
        </w:tc>
        <w:tc>
          <w:tcPr>
            <w:tcW w:w="110" w:type="dxa"/>
            <w:tcBorders/>
            <w:shd w:fill="CCEEFF" w:val="clear"/>
            <w:vAlign w:val="center"/>
          </w:tcPr>
          <w:p>
            <w:pPr>
              <w:pStyle w:val="TableContents"/>
              <w:bidi w:val="0"/>
              <w:spacing w:before="0" w:after="283"/>
              <w:jc w:val="left"/>
              <w:rPr/>
            </w:pPr>
            <w:r>
              <w:rPr/>
              <w:t> </w:t>
            </w:r>
            <w:bookmarkStart w:id="128" w:name="xdx_434_c20230101__20230331_eus-gaap--St"/>
            <w:bookmarkEnd w:id="128"/>
          </w:p>
        </w:tc>
      </w:tr>
      <w:tr>
        <w:trPr/>
        <w:tc>
          <w:tcPr>
            <w:tcW w:w="2565" w:type="dxa"/>
            <w:tcBorders/>
            <w:shd w:fill="FFFFFF" w:val="clear"/>
            <w:vAlign w:val="center"/>
          </w:tcPr>
          <w:p>
            <w:pPr>
              <w:pStyle w:val="TableContents"/>
              <w:bidi w:val="0"/>
              <w:spacing w:before="0" w:after="283"/>
              <w:jc w:val="left"/>
              <w:rPr>
                <w:b/>
              </w:rPr>
            </w:pPr>
            <w:r>
              <w:rPr>
                <w:b/>
              </w:rPr>
              <w:t>BALANCE AT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9" w:name="xdx_986_eus-gaap--SharesOutstanding_iE_p"/>
            <w:bookmarkEnd w:id="12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8,326,648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0" w:name="xdx_98E_eus-gaap--SharesOutstanding_iE_p"/>
            <w:bookmarkEnd w:id="130"/>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rPr>
              <w:t>-</w:t>
            </w:r>
            <w:bookmarkStart w:id="131" w:name="xdx_F27_zMuvzNbuhvDb"/>
            <w:bookmarkEnd w:id="131"/>
            <w:r>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219,266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(205,841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13,426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40"/>
        <w:gridCol w:w="3620"/>
      </w:tblGrid>
      <w:tr>
        <w:trPr/>
        <w:tc>
          <w:tcPr>
            <w:tcW w:w="14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132" w:name="xdx_F07_zXQfcNSv3ZY3"/>
            <w:bookmarkEnd w:id="132"/>
            <w:r>
              <w:rPr>
                <w:rFonts w:ascii="Times New Roman;Times;Serif" w:hAnsi="Times New Roman;Times;Serif"/>
                <w:b/>
                <w:i w:val="false"/>
                <w:caps w:val="false"/>
                <w:smallCaps w:val="false"/>
                <w:sz w:val="20"/>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3" w:name="xdx_F18_ztQ40OOX1Z5b"/>
            <w:bookmarkEnd w:id="133"/>
            <w:r>
              <w:rPr>
                <w:rFonts w:ascii="Times New Roman;Times;Serif" w:hAnsi="Times New Roman;Times;Serif"/>
                <w:b w:val="false"/>
                <w:i w:val="false"/>
                <w:caps w:val="false"/>
                <w:smallCaps w:val="false"/>
                <w:sz w:val="20"/>
              </w:rPr>
              <w:t>Represents an amount less than $1 thousand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CHANGES IN EQUITY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3"/>
        <w:gridCol w:w="60"/>
        <w:gridCol w:w="60"/>
        <w:gridCol w:w="1100"/>
        <w:gridCol w:w="60"/>
        <w:gridCol w:w="60"/>
        <w:gridCol w:w="103"/>
        <w:gridCol w:w="757"/>
        <w:gridCol w:w="60"/>
        <w:gridCol w:w="60"/>
        <w:gridCol w:w="82"/>
        <w:gridCol w:w="639"/>
        <w:gridCol w:w="62"/>
        <w:gridCol w:w="62"/>
        <w:gridCol w:w="112"/>
        <w:gridCol w:w="748"/>
        <w:gridCol w:w="60"/>
        <w:gridCol w:w="60"/>
        <w:gridCol w:w="76"/>
        <w:gridCol w:w="1024"/>
        <w:gridCol w:w="60"/>
        <w:gridCol w:w="60"/>
        <w:gridCol w:w="87"/>
        <w:gridCol w:w="1283"/>
        <w:gridCol w:w="95"/>
        <w:gridCol w:w="60"/>
        <w:gridCol w:w="60"/>
        <w:gridCol w:w="680"/>
        <w:gridCol w:w="112"/>
      </w:tblGrid>
      <w:tr>
        <w:trPr/>
        <w:tc>
          <w:tcPr>
            <w:tcW w:w="24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5" w:type="dxa"/>
            <w:gridSpan w:val="6"/>
            <w:tcBorders>
              <w:bottom w:val="single" w:sz="12" w:space="0" w:color="000000"/>
            </w:tcBorders>
            <w:tcMar>
              <w:bottom w:w="28" w:type="dxa"/>
            </w:tcMar>
            <w:vAlign w:val="center"/>
          </w:tcPr>
          <w:p>
            <w:pPr>
              <w:pStyle w:val="TableContents"/>
              <w:bidi w:val="0"/>
              <w:jc w:val="center"/>
              <w:rPr>
                <w:b/>
              </w:rPr>
            </w:pPr>
            <w:r>
              <w:rPr>
                <w:b/>
              </w:rPr>
              <w:t>Series C</w:t>
            </w:r>
          </w:p>
          <w:p>
            <w:pPr>
              <w:pStyle w:val="TableContents"/>
              <w:bidi w:val="0"/>
              <w:jc w:val="center"/>
              <w:rPr>
                <w:b/>
              </w:rPr>
            </w:pPr>
            <w:r>
              <w:rPr>
                <w:b/>
              </w:rPr>
              <w:t>Convertible</w:t>
            </w:r>
          </w:p>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jc w:val="center"/>
              <w:rPr>
                <w:b/>
              </w:rPr>
            </w:pPr>
            <w:r>
              <w:rPr>
                <w:b/>
              </w:rPr>
              <w:t>Additional</w:t>
            </w:r>
          </w:p>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center"/>
              <w:rPr/>
            </w:pPr>
            <w:r>
              <w:rPr/>
              <w:t> </w:t>
            </w:r>
          </w:p>
        </w:tc>
      </w:tr>
      <w:tr>
        <w:trPr/>
        <w:tc>
          <w:tcPr>
            <w:tcW w:w="24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center"/>
              <w:rPr/>
            </w:pPr>
            <w:r>
              <w:rPr/>
              <w:t> </w:t>
            </w:r>
          </w:p>
        </w:tc>
      </w:tr>
      <w:tr>
        <w:trPr/>
        <w:tc>
          <w:tcPr>
            <w:tcW w:w="24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134" w:name="xdx_437_c20240101__20240331_eus-gaap--St"/>
            <w:bookmarkEnd w:id="134"/>
          </w:p>
        </w:tc>
      </w:tr>
      <w:tr>
        <w:trPr/>
        <w:tc>
          <w:tcPr>
            <w:tcW w:w="2463" w:type="dxa"/>
            <w:tcBorders/>
            <w:shd w:fill="CCEEFF" w:val="clear"/>
            <w:vAlign w:val="center"/>
          </w:tcPr>
          <w:p>
            <w:pPr>
              <w:pStyle w:val="TableContents"/>
              <w:bidi w:val="0"/>
              <w:spacing w:before="0" w:after="283"/>
              <w:jc w:val="left"/>
              <w:rPr>
                <w:b/>
              </w:rPr>
            </w:pPr>
            <w:r>
              <w:rPr>
                <w:b/>
              </w:rPr>
              <w:t>BALANCE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 w:name="xdx_988_eus-gaap--SharesOutstanding_iS_p"/>
            <w:bookmarkEnd w:id="135"/>
          </w:p>
        </w:tc>
        <w:tc>
          <w:tcPr>
            <w:tcW w:w="1100" w:type="dxa"/>
            <w:tcBorders/>
            <w:shd w:fill="CCEEFF" w:val="clear"/>
            <w:vAlign w:val="center"/>
          </w:tcPr>
          <w:p>
            <w:pPr>
              <w:pStyle w:val="TableContents"/>
              <w:bidi w:val="0"/>
              <w:spacing w:before="0" w:after="283"/>
              <w:jc w:val="right"/>
              <w:rPr>
                <w:b/>
              </w:rPr>
            </w:pPr>
            <w:r>
              <w:rPr>
                <w:b/>
              </w:rPr>
              <w:t>21,841,215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136" w:name="xdx_980_eus-gaap--SharesOutstanding_iS_p"/>
            <w:bookmarkEnd w:id="136"/>
          </w:p>
        </w:tc>
        <w:tc>
          <w:tcPr>
            <w:tcW w:w="639" w:type="dxa"/>
            <w:tcBorders/>
            <w:shd w:fill="CCEEFF" w:val="clear"/>
            <w:vAlign w:val="center"/>
          </w:tcPr>
          <w:p>
            <w:pPr>
              <w:pStyle w:val="TableContents"/>
              <w:bidi w:val="0"/>
              <w:spacing w:before="0" w:after="283"/>
              <w:jc w:val="right"/>
              <w:rPr>
                <w:b/>
              </w:rPr>
            </w:pPr>
            <w:r>
              <w:rPr>
                <w:b/>
              </w:rPr>
              <w:t>1,718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bookmarkStart w:id="137" w:name="xdx_F20_zIYrsx9LSaNh"/>
            <w:bookmarkEnd w:id="137"/>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b/>
              </w:rPr>
            </w:pPr>
            <w:r>
              <w:rPr>
                <w:b/>
              </w:rPr>
              <w:t>261,000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(221,501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39,501</w:t>
            </w:r>
          </w:p>
        </w:tc>
        <w:tc>
          <w:tcPr>
            <w:tcW w:w="112" w:type="dxa"/>
            <w:tcBorders/>
            <w:shd w:fill="CCEEFF" w:val="clear"/>
            <w:vAlign w:val="center"/>
          </w:tcPr>
          <w:p>
            <w:pPr>
              <w:pStyle w:val="TableContents"/>
              <w:bidi w:val="0"/>
              <w:spacing w:before="0" w:after="283"/>
              <w:jc w:val="left"/>
              <w:rPr/>
            </w:pPr>
            <w:r>
              <w:rPr/>
              <w:t> </w:t>
            </w:r>
            <w:bookmarkStart w:id="138" w:name="xdx_439_c20240101__20240331_eus-gaap--St"/>
            <w:bookmarkEnd w:id="138"/>
          </w:p>
        </w:tc>
      </w:tr>
      <w:tr>
        <w:trPr/>
        <w:tc>
          <w:tcPr>
            <w:tcW w:w="2463"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 w:name="xdx_982_eus-gaap--SharesOutstanding_iS_p"/>
            <w:bookmarkEnd w:id="139"/>
          </w:p>
        </w:tc>
        <w:tc>
          <w:tcPr>
            <w:tcW w:w="1100" w:type="dxa"/>
            <w:tcBorders/>
            <w:shd w:fill="CCEEFF" w:val="clear"/>
            <w:vAlign w:val="center"/>
          </w:tcPr>
          <w:p>
            <w:pPr>
              <w:pStyle w:val="TableContents"/>
              <w:bidi w:val="0"/>
              <w:spacing w:before="0" w:after="283"/>
              <w:jc w:val="right"/>
              <w:rPr>
                <w:b/>
              </w:rPr>
            </w:pPr>
            <w:r>
              <w:rPr>
                <w:b/>
              </w:rPr>
              <w:t>21,841,215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140" w:name="xdx_983_eus-gaap--SharesOutstanding_iS_p"/>
            <w:bookmarkEnd w:id="140"/>
          </w:p>
        </w:tc>
        <w:tc>
          <w:tcPr>
            <w:tcW w:w="639" w:type="dxa"/>
            <w:tcBorders/>
            <w:shd w:fill="CCEEFF" w:val="clear"/>
            <w:vAlign w:val="center"/>
          </w:tcPr>
          <w:p>
            <w:pPr>
              <w:pStyle w:val="TableContents"/>
              <w:bidi w:val="0"/>
              <w:spacing w:before="0" w:after="283"/>
              <w:jc w:val="right"/>
              <w:rPr>
                <w:b/>
              </w:rPr>
            </w:pPr>
            <w:r>
              <w:rPr>
                <w:b/>
              </w:rPr>
              <w:t>1,718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rFonts w:ascii="Times New Roman;Times;Serif" w:hAnsi="Times New Roman;Times;Serif"/>
              </w:rPr>
              <w:t>-</w:t>
            </w:r>
            <w:r>
              <w:rPr/>
              <w:t>   </w:t>
            </w:r>
            <w:bookmarkStart w:id="141" w:name="xdx_F24_zx1ga6EUjlc4"/>
            <w:bookmarkEnd w:id="141"/>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b/>
              </w:rPr>
            </w:pPr>
            <w:r>
              <w:rPr>
                <w:b/>
              </w:rPr>
              <w:t>261,000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(221,501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39,501</w:t>
            </w:r>
          </w:p>
        </w:tc>
        <w:tc>
          <w:tcPr>
            <w:tcW w:w="112" w:type="dxa"/>
            <w:tcBorders/>
            <w:shd w:fill="CCEEFF" w:val="clear"/>
            <w:vAlign w:val="center"/>
          </w:tcPr>
          <w:p>
            <w:pPr>
              <w:pStyle w:val="TableContents"/>
              <w:bidi w:val="0"/>
              <w:spacing w:before="0" w:after="283"/>
              <w:jc w:val="left"/>
              <w:rPr/>
            </w:pPr>
            <w:r>
              <w:rPr/>
              <w:t> </w:t>
            </w:r>
            <w:bookmarkStart w:id="142" w:name="xdx_407_eus-gaap--NetIncomeLoss_zHTlMN1e"/>
            <w:bookmarkEnd w:id="142"/>
          </w:p>
        </w:tc>
      </w:tr>
      <w:tr>
        <w:trPr/>
        <w:tc>
          <w:tcPr>
            <w:tcW w:w="246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(7,032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(7,032</w:t>
            </w:r>
          </w:p>
        </w:tc>
        <w:tc>
          <w:tcPr>
            <w:tcW w:w="112" w:type="dxa"/>
            <w:tcBorders/>
            <w:shd w:fill="FFFFFF" w:val="clear"/>
            <w:vAlign w:val="center"/>
          </w:tcPr>
          <w:p>
            <w:pPr>
              <w:pStyle w:val="TableContents"/>
              <w:bidi w:val="0"/>
              <w:spacing w:before="0" w:after="283"/>
              <w:jc w:val="left"/>
              <w:rPr>
                <w:b/>
              </w:rPr>
            </w:pPr>
            <w:r>
              <w:rPr>
                <w:b/>
              </w:rPr>
              <w:t>)</w:t>
            </w:r>
            <w:bookmarkStart w:id="143" w:name="xdx_40B_ecustom--SharebasedCompensationR"/>
            <w:bookmarkEnd w:id="143"/>
          </w:p>
        </w:tc>
      </w:tr>
      <w:tr>
        <w:trPr/>
        <w:tc>
          <w:tcPr>
            <w:tcW w:w="2463" w:type="dxa"/>
            <w:tcBorders/>
            <w:shd w:fill="CCEE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144" w:name="xdx_90A_eus-gaap--StockIssuedDuringPerio"/>
            <w:bookmarkEnd w:id="144"/>
            <w:r>
              <w:rPr>
                <w:b/>
              </w:rPr>
              <w:t>75,090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5" w:name="xdx_989_ecustom--SharebasedCompensationR"/>
            <w:bookmarkEnd w:id="145"/>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1,571,170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2,618</w:t>
            </w:r>
          </w:p>
        </w:tc>
        <w:tc>
          <w:tcPr>
            <w:tcW w:w="112" w:type="dxa"/>
            <w:tcBorders/>
            <w:shd w:fill="CCEEFF" w:val="clear"/>
            <w:vAlign w:val="center"/>
          </w:tcPr>
          <w:p>
            <w:pPr>
              <w:pStyle w:val="TableContents"/>
              <w:bidi w:val="0"/>
              <w:spacing w:before="0" w:after="283"/>
              <w:jc w:val="left"/>
              <w:rPr/>
            </w:pPr>
            <w:r>
              <w:rPr/>
              <w:t> </w:t>
            </w:r>
            <w:bookmarkStart w:id="146" w:name="xdx_40B_ecustom--SharebasedCompensationR"/>
            <w:bookmarkEnd w:id="146"/>
          </w:p>
        </w:tc>
      </w:tr>
      <w:tr>
        <w:trPr/>
        <w:tc>
          <w:tcPr>
            <w:tcW w:w="2463" w:type="dxa"/>
            <w:tcBorders/>
            <w:shd w:fill="CCEEFF" w:val="clear"/>
            <w:vAlign w:val="center"/>
          </w:tcPr>
          <w:p>
            <w:pPr>
              <w:pStyle w:val="TableContents"/>
              <w:bidi w:val="0"/>
              <w:spacing w:before="0" w:after="283"/>
              <w:jc w:val="left"/>
              <w:rPr>
                <w:b/>
              </w:rPr>
            </w:pPr>
            <w:r>
              <w:rPr>
                <w:b/>
              </w:rPr>
              <w:t>Share-based compensation related to stock, restricted stock, restricted stock units and stock options award, net of forfeitures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7" w:name="xdx_98F_ecustom--SharebasedCompensationR"/>
            <w:bookmarkEnd w:id="147"/>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1,571,170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2,618</w:t>
            </w:r>
          </w:p>
        </w:tc>
        <w:tc>
          <w:tcPr>
            <w:tcW w:w="112" w:type="dxa"/>
            <w:tcBorders/>
            <w:shd w:fill="CCEEFF" w:val="clear"/>
            <w:vAlign w:val="center"/>
          </w:tcPr>
          <w:p>
            <w:pPr>
              <w:pStyle w:val="TableContents"/>
              <w:bidi w:val="0"/>
              <w:spacing w:before="0" w:after="283"/>
              <w:jc w:val="left"/>
              <w:rPr/>
            </w:pPr>
            <w:r>
              <w:rPr/>
              <w:t> </w:t>
            </w:r>
            <w:bookmarkStart w:id="148" w:name="xdx_43D_c20240101__20240331_eus-gaap--St"/>
            <w:bookmarkEnd w:id="148"/>
          </w:p>
        </w:tc>
      </w:tr>
      <w:tr>
        <w:trPr/>
        <w:tc>
          <w:tcPr>
            <w:tcW w:w="2463" w:type="dxa"/>
            <w:tcBorders/>
            <w:shd w:fill="FFFFFF" w:val="clear"/>
            <w:vAlign w:val="center"/>
          </w:tcPr>
          <w:p>
            <w:pPr>
              <w:pStyle w:val="TableContents"/>
              <w:bidi w:val="0"/>
              <w:spacing w:before="0" w:after="283"/>
              <w:jc w:val="left"/>
              <w:rPr>
                <w:b/>
              </w:rPr>
            </w:pPr>
            <w:r>
              <w:rPr>
                <w:b/>
              </w:rPr>
              <w:t>BALANCE AT 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9" w:name="xdx_980_eus-gaap--SharesOutstanding_iE_p"/>
            <w:bookmarkEnd w:id="149"/>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23,412,385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0" w:name="xdx_982_eus-gaap--SharesOutstanding_iE_p"/>
            <w:bookmarkEnd w:id="150"/>
          </w:p>
        </w:tc>
        <w:tc>
          <w:tcPr>
            <w:tcW w:w="6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151" w:name="xdx_F2C_zGCf8DkMH0Ec"/>
            <w:bookmarkEnd w:id="151"/>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263,618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(228,533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35,087</w:t>
            </w:r>
          </w:p>
        </w:tc>
        <w:tc>
          <w:tcPr>
            <w:tcW w:w="112" w:type="dxa"/>
            <w:tcBorders/>
            <w:shd w:fill="FFFFFF" w:val="clear"/>
            <w:vAlign w:val="center"/>
          </w:tcPr>
          <w:p>
            <w:pPr>
              <w:pStyle w:val="TableContents"/>
              <w:bidi w:val="0"/>
              <w:spacing w:before="0" w:after="283"/>
              <w:jc w:val="left"/>
              <w:rPr/>
            </w:pPr>
            <w:r>
              <w:rPr/>
              <w:t> </w:t>
            </w:r>
            <w:bookmarkStart w:id="152" w:name="xdx_438_c20240101__20240331_eus-gaap--St"/>
            <w:bookmarkEnd w:id="152"/>
          </w:p>
        </w:tc>
      </w:tr>
      <w:tr>
        <w:trPr/>
        <w:tc>
          <w:tcPr>
            <w:tcW w:w="2463"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3" w:name="xdx_981_eus-gaap--SharesOutstanding_iE_p"/>
            <w:bookmarkEnd w:id="15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23,412,385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4" w:name="xdx_98F_eus-gaap--SharesOutstanding_iE_p"/>
            <w:bookmarkEnd w:id="154"/>
          </w:p>
        </w:tc>
        <w:tc>
          <w:tcPr>
            <w:tcW w:w="6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155" w:name="xdx_F2C_zJmy2gEq7456"/>
            <w:bookmarkEnd w:id="155"/>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263,618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(228,533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35,087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40"/>
        <w:gridCol w:w="3620"/>
      </w:tblGrid>
      <w:tr>
        <w:trPr/>
        <w:tc>
          <w:tcPr>
            <w:tcW w:w="14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bookmarkStart w:id="156" w:name="xdx_F01_zlGMcg3RhKR2"/>
            <w:bookmarkEnd w:id="156"/>
            <w:r>
              <w:rPr>
                <w:rFonts w:ascii="Times New Roman;Times;Serif" w:hAnsi="Times New Roman;Times;Serif"/>
                <w:b/>
                <w:i w:val="false"/>
                <w:caps w:val="false"/>
                <w:smallCaps w:val="false"/>
                <w:sz w:val="20"/>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7" w:name="xdx_F19_zHCxBHnRGdh"/>
            <w:bookmarkEnd w:id="157"/>
            <w:r>
              <w:rPr>
                <w:rFonts w:ascii="Times New Roman;Times;Serif" w:hAnsi="Times New Roman;Times;Serif"/>
                <w:b w:val="false"/>
                <w:i w:val="false"/>
                <w:caps w:val="false"/>
                <w:smallCaps w:val="false"/>
                <w:sz w:val="20"/>
              </w:rPr>
              <w:t>Represents an amount less than $1 thousand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8" w:name="a_004"/>
      <w:bookmarkEnd w:id="158"/>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9" w:name="xdx_308_112_pn3n3_zY8SiMXmTG11"/>
      <w:bookmarkStart w:id="160" w:name="xdx_308_112_pn3n3_zY8SiMXmTG11"/>
      <w:bookmarkEnd w:id="160"/>
    </w:p>
    <w:tbl>
      <w:tblPr>
        <w:tblW w:w="10205" w:type="dxa"/>
        <w:jc w:val="left"/>
        <w:tblInd w:w="0" w:type="dxa"/>
        <w:tblLayout w:type="fixed"/>
        <w:tblCellMar>
          <w:top w:w="0" w:type="dxa"/>
          <w:left w:w="0" w:type="dxa"/>
          <w:bottom w:w="0" w:type="dxa"/>
          <w:right w:w="0" w:type="dxa"/>
        </w:tblCellMar>
      </w:tblPr>
      <w:tblGrid>
        <w:gridCol w:w="7993"/>
        <w:gridCol w:w="60"/>
        <w:gridCol w:w="167"/>
        <w:gridCol w:w="760"/>
        <w:gridCol w:w="113"/>
        <w:gridCol w:w="71"/>
        <w:gridCol w:w="167"/>
        <w:gridCol w:w="760"/>
        <w:gridCol w:w="114"/>
      </w:tblGrid>
      <w:tr>
        <w:trPr/>
        <w:tc>
          <w:tcPr>
            <w:tcW w:w="79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61" w:name="xdx_496_20240101__20240331_zZ6XWQC27G6k"/>
            <w:bookmarkEnd w:id="161"/>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162" w:name="xdx_49F_20230101__20230331_z0svijUJBdM9"/>
            <w:bookmarkEnd w:id="162"/>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left"/>
              <w:rPr/>
            </w:pPr>
            <w:r>
              <w:rPr/>
              <w:t> </w:t>
            </w:r>
          </w:p>
        </w:tc>
      </w:tr>
      <w:tr>
        <w:trPr/>
        <w:tc>
          <w:tcPr>
            <w:tcW w:w="79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38" w:type="dxa"/>
            <w:gridSpan w:val="6"/>
            <w:tcBorders>
              <w:bottom w:val="single" w:sz="12"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March 31</w:t>
            </w:r>
          </w:p>
        </w:tc>
        <w:tc>
          <w:tcPr>
            <w:tcW w:w="114" w:type="dxa"/>
            <w:tcBorders/>
            <w:vAlign w:val="center"/>
          </w:tcPr>
          <w:p>
            <w:pPr>
              <w:pStyle w:val="TableContents"/>
              <w:bidi w:val="0"/>
              <w:spacing w:before="0" w:after="283"/>
              <w:jc w:val="left"/>
              <w:rPr/>
            </w:pPr>
            <w:r>
              <w:rPr/>
              <w:t> </w:t>
            </w:r>
          </w:p>
        </w:tc>
      </w:tr>
      <w:tr>
        <w:trPr/>
        <w:tc>
          <w:tcPr>
            <w:tcW w:w="79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left"/>
              <w:rPr/>
            </w:pPr>
            <w:r>
              <w:rPr/>
              <w:t> </w:t>
            </w:r>
            <w:bookmarkStart w:id="163" w:name="xdx_40D_eus-gaap--NetCashProvidedByUsedI"/>
            <w:bookmarkEnd w:id="163"/>
          </w:p>
        </w:tc>
      </w:tr>
      <w:tr>
        <w:trPr/>
        <w:tc>
          <w:tcPr>
            <w:tcW w:w="7993"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4" w:name="xdx_40D_eus-gaap--NetIncomeLoss_i01_maNC"/>
            <w:bookmarkEnd w:id="164"/>
          </w:p>
        </w:tc>
      </w:tr>
      <w:tr>
        <w:trPr/>
        <w:tc>
          <w:tcPr>
            <w:tcW w:w="799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760" w:type="dxa"/>
            <w:tcBorders/>
            <w:shd w:fill="FFFFFF" w:val="clear"/>
            <w:vAlign w:val="center"/>
          </w:tcPr>
          <w:p>
            <w:pPr>
              <w:pStyle w:val="TableContents"/>
              <w:bidi w:val="0"/>
              <w:spacing w:before="0" w:after="283"/>
              <w:jc w:val="right"/>
              <w:rPr/>
            </w:pPr>
            <w:r>
              <w:rPr/>
              <w:t>(7,032</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760" w:type="dxa"/>
            <w:tcBorders/>
            <w:shd w:fill="FFFFFF" w:val="clear"/>
            <w:vAlign w:val="center"/>
          </w:tcPr>
          <w:p>
            <w:pPr>
              <w:pStyle w:val="TableContents"/>
              <w:bidi w:val="0"/>
              <w:spacing w:before="0" w:after="283"/>
              <w:jc w:val="right"/>
              <w:rPr/>
            </w:pPr>
            <w:r>
              <w:rPr/>
              <w:t>(4,256</w:t>
            </w:r>
          </w:p>
        </w:tc>
        <w:tc>
          <w:tcPr>
            <w:tcW w:w="114" w:type="dxa"/>
            <w:tcBorders/>
            <w:shd w:fill="FFFFFF" w:val="clear"/>
            <w:vAlign w:val="center"/>
          </w:tcPr>
          <w:p>
            <w:pPr>
              <w:pStyle w:val="TableContents"/>
              <w:bidi w:val="0"/>
              <w:spacing w:before="0" w:after="283"/>
              <w:jc w:val="left"/>
              <w:rPr/>
            </w:pPr>
            <w:r>
              <w:rPr/>
              <w:t>)</w:t>
            </w:r>
            <w:bookmarkStart w:id="165" w:name="xdx_406_eus-gaap--AdjustmentsNoncashItem"/>
            <w:bookmarkEnd w:id="165"/>
          </w:p>
        </w:tc>
      </w:tr>
      <w:tr>
        <w:trPr/>
        <w:tc>
          <w:tcPr>
            <w:tcW w:w="7993" w:type="dxa"/>
            <w:tcBorders/>
            <w:shd w:fill="CCEEFF" w:val="clear"/>
            <w:vAlign w:val="center"/>
          </w:tcPr>
          <w:p>
            <w:pPr>
              <w:pStyle w:val="TableContents"/>
              <w:bidi w:val="0"/>
              <w:spacing w:before="0" w:after="283"/>
              <w:jc w:val="left"/>
              <w:rPr/>
            </w:pPr>
            <w:r>
              <w:rPr/>
              <w:t>Adjustments required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6" w:name="xdx_400_eus-gaap--Depreciation_i02_maNCP"/>
            <w:bookmarkEnd w:id="166"/>
          </w:p>
        </w:tc>
      </w:tr>
      <w:tr>
        <w:trPr/>
        <w:tc>
          <w:tcPr>
            <w:tcW w:w="7993"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69</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55</w:t>
            </w:r>
          </w:p>
        </w:tc>
        <w:tc>
          <w:tcPr>
            <w:tcW w:w="114" w:type="dxa"/>
            <w:tcBorders/>
            <w:shd w:fill="FFFFFF" w:val="clear"/>
            <w:vAlign w:val="center"/>
          </w:tcPr>
          <w:p>
            <w:pPr>
              <w:pStyle w:val="TableContents"/>
              <w:bidi w:val="0"/>
              <w:spacing w:before="0" w:after="283"/>
              <w:jc w:val="left"/>
              <w:rPr/>
            </w:pPr>
            <w:r>
              <w:rPr/>
              <w:t> </w:t>
            </w:r>
            <w:bookmarkStart w:id="167" w:name="xdx_404_ecustom--ChangesInFairValueOfMar"/>
            <w:bookmarkEnd w:id="167"/>
          </w:p>
        </w:tc>
      </w:tr>
      <w:tr>
        <w:trPr/>
        <w:tc>
          <w:tcPr>
            <w:tcW w:w="7993" w:type="dxa"/>
            <w:tcBorders/>
            <w:shd w:fill="CCEEFF" w:val="clear"/>
            <w:vAlign w:val="center"/>
          </w:tcPr>
          <w:p>
            <w:pPr>
              <w:pStyle w:val="TableContents"/>
              <w:bidi w:val="0"/>
              <w:spacing w:before="0" w:after="283"/>
              <w:jc w:val="left"/>
              <w:rPr/>
            </w:pPr>
            <w:r>
              <w:rPr/>
              <w:t>Change in fair value of markable securities, net of interest received</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(218</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68" w:name="xdx_406_ecustom--ChangeInLiabilityForEmp"/>
            <w:bookmarkEnd w:id="168"/>
          </w:p>
        </w:tc>
      </w:tr>
      <w:tr>
        <w:trPr/>
        <w:tc>
          <w:tcPr>
            <w:tcW w:w="7993" w:type="dxa"/>
            <w:tcBorders/>
            <w:shd w:fill="FFFFFF" w:val="clear"/>
            <w:vAlign w:val="center"/>
          </w:tcPr>
          <w:p>
            <w:pPr>
              <w:pStyle w:val="TableContents"/>
              <w:bidi w:val="0"/>
              <w:spacing w:before="0" w:after="283"/>
              <w:jc w:val="left"/>
              <w:rPr/>
            </w:pPr>
            <w:r>
              <w:rPr/>
              <w:t>Change in liability for employees rights upon retirement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36</w:t>
            </w:r>
          </w:p>
        </w:tc>
        <w:tc>
          <w:tcPr>
            <w:tcW w:w="114" w:type="dxa"/>
            <w:tcBorders/>
            <w:shd w:fill="FFFFFF" w:val="clear"/>
            <w:vAlign w:val="center"/>
          </w:tcPr>
          <w:p>
            <w:pPr>
              <w:pStyle w:val="TableContents"/>
              <w:bidi w:val="0"/>
              <w:spacing w:before="0" w:after="283"/>
              <w:jc w:val="left"/>
              <w:rPr/>
            </w:pPr>
            <w:r>
              <w:rPr/>
              <w:t> </w:t>
            </w:r>
            <w:bookmarkStart w:id="169" w:name="xdx_400_eus-gaap--OtherNoncashIncomeExpe"/>
            <w:bookmarkEnd w:id="169"/>
          </w:p>
        </w:tc>
      </w:tr>
      <w:tr>
        <w:trPr/>
        <w:tc>
          <w:tcPr>
            <w:tcW w:w="7993" w:type="dxa"/>
            <w:tcBorders/>
            <w:shd w:fill="CCEEFF" w:val="clear"/>
            <w:vAlign w:val="center"/>
          </w:tcPr>
          <w:p>
            <w:pPr>
              <w:pStyle w:val="TableContents"/>
              <w:bidi w:val="0"/>
              <w:spacing w:before="0" w:after="283"/>
              <w:jc w:val="left"/>
              <w:rPr/>
            </w:pPr>
            <w:r>
              <w:rPr/>
              <w:t>Other financial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22</w:t>
            </w:r>
          </w:p>
        </w:tc>
        <w:tc>
          <w:tcPr>
            <w:tcW w:w="114" w:type="dxa"/>
            <w:tcBorders/>
            <w:shd w:fill="CCEEFF" w:val="clear"/>
            <w:vAlign w:val="center"/>
          </w:tcPr>
          <w:p>
            <w:pPr>
              <w:pStyle w:val="TableContents"/>
              <w:bidi w:val="0"/>
              <w:spacing w:before="0" w:after="283"/>
              <w:jc w:val="left"/>
              <w:rPr/>
            </w:pPr>
            <w:r>
              <w:rPr/>
              <w:t> </w:t>
            </w:r>
            <w:bookmarkStart w:id="170" w:name="xdx_404_ecustom--ChangeInRightOfUseAsset"/>
            <w:bookmarkEnd w:id="170"/>
          </w:p>
        </w:tc>
      </w:tr>
      <w:tr>
        <w:trPr/>
        <w:tc>
          <w:tcPr>
            <w:tcW w:w="7993" w:type="dxa"/>
            <w:tcBorders/>
            <w:shd w:fill="FFFFFF" w:val="clear"/>
            <w:vAlign w:val="center"/>
          </w:tcPr>
          <w:p>
            <w:pPr>
              <w:pStyle w:val="TableContents"/>
              <w:bidi w:val="0"/>
              <w:spacing w:before="0" w:after="283"/>
              <w:jc w:val="left"/>
              <w:rPr/>
            </w:pPr>
            <w:r>
              <w:rPr/>
              <w:t>Change in operating right of use asset and operating leasing liability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(25</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(34</w:t>
            </w:r>
          </w:p>
        </w:tc>
        <w:tc>
          <w:tcPr>
            <w:tcW w:w="114" w:type="dxa"/>
            <w:tcBorders/>
            <w:shd w:fill="FFFFFF" w:val="clear"/>
            <w:vAlign w:val="center"/>
          </w:tcPr>
          <w:p>
            <w:pPr>
              <w:pStyle w:val="TableContents"/>
              <w:bidi w:val="0"/>
              <w:spacing w:before="0" w:after="283"/>
              <w:jc w:val="left"/>
              <w:rPr/>
            </w:pPr>
            <w:r>
              <w:rPr/>
              <w:t>)</w:t>
            </w:r>
            <w:bookmarkStart w:id="171" w:name="xdx_40E_eus-gaap--ShareBasedCompensation"/>
            <w:bookmarkEnd w:id="171"/>
          </w:p>
        </w:tc>
      </w:tr>
      <w:tr>
        <w:trPr/>
        <w:tc>
          <w:tcPr>
            <w:tcW w:w="7993"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2,618</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289</w:t>
            </w:r>
          </w:p>
        </w:tc>
        <w:tc>
          <w:tcPr>
            <w:tcW w:w="114" w:type="dxa"/>
            <w:tcBorders/>
            <w:shd w:fill="CCEEFF" w:val="clear"/>
            <w:vAlign w:val="center"/>
          </w:tcPr>
          <w:p>
            <w:pPr>
              <w:pStyle w:val="TableContents"/>
              <w:bidi w:val="0"/>
              <w:spacing w:before="0" w:after="283"/>
              <w:jc w:val="left"/>
              <w:rPr/>
            </w:pPr>
            <w:r>
              <w:rPr/>
              <w:t> </w:t>
            </w:r>
            <w:bookmarkStart w:id="172" w:name="xdx_404_ecustom--LossGainOnAmountsFunded"/>
            <w:bookmarkEnd w:id="172"/>
          </w:p>
        </w:tc>
      </w:tr>
      <w:tr>
        <w:trPr/>
        <w:tc>
          <w:tcPr>
            <w:tcW w:w="7993" w:type="dxa"/>
            <w:tcBorders/>
            <w:shd w:fill="FFFFFF" w:val="clear"/>
            <w:vAlign w:val="center"/>
          </w:tcPr>
          <w:p>
            <w:pPr>
              <w:pStyle w:val="TableContents"/>
              <w:bidi w:val="0"/>
              <w:spacing w:before="0" w:after="283"/>
              <w:jc w:val="left"/>
              <w:rPr/>
            </w:pPr>
            <w:r>
              <w:rPr/>
              <w:t>Loss on amounts funded in respect of employee rights upon retirement, net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23</w:t>
            </w:r>
          </w:p>
        </w:tc>
        <w:tc>
          <w:tcPr>
            <w:tcW w:w="114" w:type="dxa"/>
            <w:tcBorders/>
            <w:shd w:fill="FFFFFF" w:val="clear"/>
            <w:vAlign w:val="center"/>
          </w:tcPr>
          <w:p>
            <w:pPr>
              <w:pStyle w:val="TableContents"/>
              <w:bidi w:val="0"/>
              <w:spacing w:before="0" w:after="283"/>
              <w:jc w:val="left"/>
              <w:rPr/>
            </w:pPr>
            <w:r>
              <w:rPr/>
              <w:t> </w:t>
            </w:r>
            <w:bookmarkStart w:id="173" w:name="xdx_409_ecustom--InterestIncomeFromShort"/>
            <w:bookmarkEnd w:id="173"/>
          </w:p>
        </w:tc>
      </w:tr>
      <w:tr>
        <w:trPr/>
        <w:tc>
          <w:tcPr>
            <w:tcW w:w="7993" w:type="dxa"/>
            <w:tcBorders/>
            <w:shd w:fill="CCEEFF" w:val="clear"/>
            <w:vAlign w:val="center"/>
          </w:tcPr>
          <w:p>
            <w:pPr>
              <w:pStyle w:val="TableContents"/>
              <w:bidi w:val="0"/>
              <w:spacing w:before="0" w:after="283"/>
              <w:jc w:val="left"/>
              <w:rPr/>
            </w:pPr>
            <w:r>
              <w:rPr/>
              <w:t>Decrease in interest receivable on short term deposits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14</w:t>
            </w:r>
          </w:p>
        </w:tc>
        <w:tc>
          <w:tcPr>
            <w:tcW w:w="114" w:type="dxa"/>
            <w:tcBorders/>
            <w:shd w:fill="CCEEFF" w:val="clear"/>
            <w:vAlign w:val="center"/>
          </w:tcPr>
          <w:p>
            <w:pPr>
              <w:pStyle w:val="TableContents"/>
              <w:bidi w:val="0"/>
              <w:spacing w:before="0" w:after="283"/>
              <w:jc w:val="left"/>
              <w:rPr/>
            </w:pPr>
            <w:r>
              <w:rPr/>
              <w:t> </w:t>
            </w:r>
            <w:bookmarkStart w:id="174" w:name="xdx_402_eus-gaap--IncreaseDecreaseInOper"/>
            <w:bookmarkEnd w:id="174"/>
          </w:p>
        </w:tc>
      </w:tr>
      <w:tr>
        <w:trPr/>
        <w:tc>
          <w:tcPr>
            <w:tcW w:w="7993" w:type="dxa"/>
            <w:tcBorders/>
            <w:shd w:fill="FFFFFF" w:val="clear"/>
            <w:vAlign w:val="center"/>
          </w:tcPr>
          <w:p>
            <w:pPr>
              <w:pStyle w:val="TableContents"/>
              <w:bidi w:val="0"/>
              <w:spacing w:before="0" w:after="283"/>
              <w:jc w:val="left"/>
              <w:rPr/>
            </w:pPr>
            <w:r>
              <w:rPr/>
              <w:t>Changes in operating asset and liability items: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5" w:name="xdx_40C_eus-gaap--IncreaseDecreaseInPrep"/>
            <w:bookmarkEnd w:id="175"/>
          </w:p>
        </w:tc>
      </w:tr>
      <w:tr>
        <w:trPr/>
        <w:tc>
          <w:tcPr>
            <w:tcW w:w="7993" w:type="dxa"/>
            <w:tcBorders/>
            <w:shd w:fill="CCEEFF" w:val="clear"/>
            <w:vAlign w:val="center"/>
          </w:tcPr>
          <w:p>
            <w:pPr>
              <w:pStyle w:val="TableContents"/>
              <w:bidi w:val="0"/>
              <w:spacing w:before="0" w:after="283"/>
              <w:jc w:val="left"/>
              <w:rPr/>
            </w:pPr>
            <w:r>
              <w:rPr/>
              <w:t>Decrease in prepaid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47</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261</w:t>
            </w:r>
          </w:p>
        </w:tc>
        <w:tc>
          <w:tcPr>
            <w:tcW w:w="114" w:type="dxa"/>
            <w:tcBorders/>
            <w:shd w:fill="CCEEFF" w:val="clear"/>
            <w:vAlign w:val="center"/>
          </w:tcPr>
          <w:p>
            <w:pPr>
              <w:pStyle w:val="TableContents"/>
              <w:bidi w:val="0"/>
              <w:spacing w:before="0" w:after="283"/>
              <w:jc w:val="left"/>
              <w:rPr/>
            </w:pPr>
            <w:r>
              <w:rPr/>
              <w:t> </w:t>
            </w:r>
            <w:bookmarkStart w:id="176" w:name="xdx_401_eus-gaap--IncreaseDecreaseInAcco"/>
            <w:bookmarkEnd w:id="176"/>
          </w:p>
        </w:tc>
      </w:tr>
      <w:tr>
        <w:trPr/>
        <w:tc>
          <w:tcPr>
            <w:tcW w:w="7993" w:type="dxa"/>
            <w:tcBorders/>
            <w:shd w:fill="FFFFFF" w:val="clear"/>
            <w:vAlign w:val="center"/>
          </w:tcPr>
          <w:p>
            <w:pPr>
              <w:pStyle w:val="TableContents"/>
              <w:bidi w:val="0"/>
              <w:spacing w:before="0" w:after="283"/>
              <w:jc w:val="left"/>
              <w:rPr/>
            </w:pPr>
            <w:r>
              <w:rPr/>
              <w:t>Decrease (Increase) in trade receivables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617</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(383</w:t>
            </w:r>
          </w:p>
        </w:tc>
        <w:tc>
          <w:tcPr>
            <w:tcW w:w="114" w:type="dxa"/>
            <w:tcBorders/>
            <w:shd w:fill="FFFFFF" w:val="clear"/>
            <w:vAlign w:val="center"/>
          </w:tcPr>
          <w:p>
            <w:pPr>
              <w:pStyle w:val="TableContents"/>
              <w:bidi w:val="0"/>
              <w:spacing w:before="0" w:after="283"/>
              <w:jc w:val="left"/>
              <w:rPr/>
            </w:pPr>
            <w:r>
              <w:rPr/>
              <w:t>)</w:t>
            </w:r>
            <w:bookmarkStart w:id="177" w:name="xdx_402_eus-gaap--IncreaseDecreaseInOthe"/>
            <w:bookmarkEnd w:id="177"/>
          </w:p>
        </w:tc>
      </w:tr>
      <w:tr>
        <w:trPr/>
        <w:tc>
          <w:tcPr>
            <w:tcW w:w="7993" w:type="dxa"/>
            <w:tcBorders/>
            <w:shd w:fill="CCEEFF" w:val="clear"/>
            <w:vAlign w:val="center"/>
          </w:tcPr>
          <w:p>
            <w:pPr>
              <w:pStyle w:val="TableContents"/>
              <w:bidi w:val="0"/>
              <w:spacing w:before="0" w:after="283"/>
              <w:jc w:val="left"/>
              <w:rPr/>
            </w:pPr>
            <w:r>
              <w:rPr/>
              <w:t>Decrease (Increase) in other receivables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165</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(97</w:t>
            </w:r>
          </w:p>
        </w:tc>
        <w:tc>
          <w:tcPr>
            <w:tcW w:w="114" w:type="dxa"/>
            <w:tcBorders/>
            <w:shd w:fill="CCEEFF" w:val="clear"/>
            <w:vAlign w:val="center"/>
          </w:tcPr>
          <w:p>
            <w:pPr>
              <w:pStyle w:val="TableContents"/>
              <w:bidi w:val="0"/>
              <w:spacing w:before="0" w:after="283"/>
              <w:jc w:val="left"/>
              <w:rPr/>
            </w:pPr>
            <w:r>
              <w:rPr/>
              <w:t>)</w:t>
            </w:r>
            <w:bookmarkStart w:id="178" w:name="xdx_407_eus-gaap--IncreaseDecreaseInInve"/>
            <w:bookmarkEnd w:id="178"/>
          </w:p>
        </w:tc>
      </w:tr>
      <w:tr>
        <w:trPr/>
        <w:tc>
          <w:tcPr>
            <w:tcW w:w="7993" w:type="dxa"/>
            <w:tcBorders/>
            <w:shd w:fill="FFFFFF" w:val="clear"/>
            <w:vAlign w:val="center"/>
          </w:tcPr>
          <w:p>
            <w:pPr>
              <w:pStyle w:val="TableContents"/>
              <w:bidi w:val="0"/>
              <w:spacing w:before="0" w:after="283"/>
              <w:jc w:val="left"/>
              <w:rPr/>
            </w:pPr>
            <w:r>
              <w:rPr/>
              <w:t>Increase in inventory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(254</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(76</w:t>
            </w:r>
          </w:p>
        </w:tc>
        <w:tc>
          <w:tcPr>
            <w:tcW w:w="114" w:type="dxa"/>
            <w:tcBorders/>
            <w:shd w:fill="FFFFFF" w:val="clear"/>
            <w:vAlign w:val="center"/>
          </w:tcPr>
          <w:p>
            <w:pPr>
              <w:pStyle w:val="TableContents"/>
              <w:bidi w:val="0"/>
              <w:spacing w:before="0" w:after="283"/>
              <w:jc w:val="left"/>
              <w:rPr/>
            </w:pPr>
            <w:r>
              <w:rPr/>
              <w:t>)</w:t>
            </w:r>
            <w:bookmarkStart w:id="179" w:name="xdx_403_eus-gaap--IncreaseDecreaseInAcco"/>
            <w:bookmarkEnd w:id="179"/>
          </w:p>
        </w:tc>
      </w:tr>
      <w:tr>
        <w:trPr/>
        <w:tc>
          <w:tcPr>
            <w:tcW w:w="7993" w:type="dxa"/>
            <w:tcBorders/>
            <w:shd w:fill="CCEEFF" w:val="clear"/>
            <w:vAlign w:val="center"/>
          </w:tcPr>
          <w:p>
            <w:pPr>
              <w:pStyle w:val="TableContents"/>
              <w:bidi w:val="0"/>
              <w:spacing w:before="0" w:after="283"/>
              <w:jc w:val="left"/>
              <w:rPr/>
            </w:pPr>
            <w:r>
              <w:rPr/>
              <w:t>Decrease in trade payables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(280</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(52</w:t>
            </w:r>
          </w:p>
        </w:tc>
        <w:tc>
          <w:tcPr>
            <w:tcW w:w="114" w:type="dxa"/>
            <w:tcBorders/>
            <w:shd w:fill="CCEEFF" w:val="clear"/>
            <w:vAlign w:val="center"/>
          </w:tcPr>
          <w:p>
            <w:pPr>
              <w:pStyle w:val="TableContents"/>
              <w:bidi w:val="0"/>
              <w:spacing w:before="0" w:after="283"/>
              <w:jc w:val="left"/>
              <w:rPr/>
            </w:pPr>
            <w:r>
              <w:rPr/>
              <w:t>)</w:t>
            </w:r>
            <w:bookmarkStart w:id="180" w:name="xdx_407_eus-gaap--IncreaseDecreaseInOthe"/>
            <w:bookmarkEnd w:id="180"/>
          </w:p>
        </w:tc>
      </w:tr>
      <w:tr>
        <w:trPr/>
        <w:tc>
          <w:tcPr>
            <w:tcW w:w="7993" w:type="dxa"/>
            <w:tcBorders/>
            <w:shd w:fill="FFFFFF" w:val="clear"/>
            <w:vAlign w:val="center"/>
          </w:tcPr>
          <w:p>
            <w:pPr>
              <w:pStyle w:val="TableContents"/>
              <w:bidi w:val="0"/>
              <w:spacing w:before="0" w:after="283"/>
              <w:jc w:val="left"/>
              <w:rPr/>
            </w:pPr>
            <w:r>
              <w:rPr/>
              <w:t>Decrease in other payables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(855</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(633</w:t>
            </w:r>
          </w:p>
        </w:tc>
        <w:tc>
          <w:tcPr>
            <w:tcW w:w="114" w:type="dxa"/>
            <w:tcBorders/>
            <w:shd w:fill="FFFFFF" w:val="clear"/>
            <w:vAlign w:val="center"/>
          </w:tcPr>
          <w:p>
            <w:pPr>
              <w:pStyle w:val="TableContents"/>
              <w:bidi w:val="0"/>
              <w:spacing w:before="0" w:after="283"/>
              <w:jc w:val="left"/>
              <w:rPr/>
            </w:pPr>
            <w:r>
              <w:rPr/>
              <w:t>)</w:t>
            </w:r>
            <w:bookmarkStart w:id="181" w:name="xdx_400_eus-gaap--NetCashProvidedByUsedI"/>
            <w:bookmarkEnd w:id="181"/>
          </w:p>
        </w:tc>
      </w:tr>
      <w:tr>
        <w:trPr/>
        <w:tc>
          <w:tcPr>
            <w:tcW w:w="7993"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(5,064</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(4,831</w:t>
            </w:r>
          </w:p>
        </w:tc>
        <w:tc>
          <w:tcPr>
            <w:tcW w:w="114" w:type="dxa"/>
            <w:tcBorders/>
            <w:shd w:fill="CCEEFF" w:val="clear"/>
            <w:vAlign w:val="center"/>
          </w:tcPr>
          <w:p>
            <w:pPr>
              <w:pStyle w:val="TableContents"/>
              <w:bidi w:val="0"/>
              <w:spacing w:before="0" w:after="283"/>
              <w:jc w:val="left"/>
              <w:rPr/>
            </w:pPr>
            <w:r>
              <w:rPr/>
              <w:t>)</w:t>
            </w:r>
            <w:bookmarkStart w:id="182" w:name="xdx_40E_eus-gaap--NetCashProvidedByUsedI"/>
            <w:bookmarkEnd w:id="182"/>
          </w:p>
        </w:tc>
      </w:tr>
      <w:tr>
        <w:trPr/>
        <w:tc>
          <w:tcPr>
            <w:tcW w:w="7993"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83" w:name="xdx_407_eus-gaap--PaymentsToAcquirePrope"/>
            <w:bookmarkEnd w:id="183"/>
          </w:p>
        </w:tc>
      </w:tr>
      <w:tr>
        <w:trPr/>
        <w:tc>
          <w:tcPr>
            <w:tcW w:w="7993"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(195</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(25</w:t>
            </w:r>
          </w:p>
        </w:tc>
        <w:tc>
          <w:tcPr>
            <w:tcW w:w="114" w:type="dxa"/>
            <w:tcBorders/>
            <w:shd w:fill="CCEEFF" w:val="clear"/>
            <w:vAlign w:val="center"/>
          </w:tcPr>
          <w:p>
            <w:pPr>
              <w:pStyle w:val="TableContents"/>
              <w:bidi w:val="0"/>
              <w:spacing w:before="0" w:after="283"/>
              <w:jc w:val="left"/>
              <w:rPr/>
            </w:pPr>
            <w:r>
              <w:rPr/>
              <w:t>)</w:t>
            </w:r>
            <w:bookmarkStart w:id="184" w:name="xdx_40C_eus-gaap--PaymentsToAcquireOther"/>
            <w:bookmarkEnd w:id="184"/>
          </w:p>
        </w:tc>
      </w:tr>
      <w:tr>
        <w:trPr/>
        <w:tc>
          <w:tcPr>
            <w:tcW w:w="7993" w:type="dxa"/>
            <w:tcBorders/>
            <w:shd w:fill="FFFFFF" w:val="clear"/>
            <w:vAlign w:val="center"/>
          </w:tcPr>
          <w:p>
            <w:pPr>
              <w:pStyle w:val="TableContents"/>
              <w:bidi w:val="0"/>
              <w:spacing w:before="0" w:after="283"/>
              <w:jc w:val="left"/>
              <w:rPr/>
            </w:pPr>
            <w:r>
              <w:rPr/>
              <w:t>Investment in short-term bank deposits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(2,500</w:t>
            </w:r>
          </w:p>
        </w:tc>
        <w:tc>
          <w:tcPr>
            <w:tcW w:w="114" w:type="dxa"/>
            <w:tcBorders/>
            <w:shd w:fill="FFFFFF" w:val="clear"/>
            <w:vAlign w:val="center"/>
          </w:tcPr>
          <w:p>
            <w:pPr>
              <w:pStyle w:val="TableContents"/>
              <w:bidi w:val="0"/>
              <w:spacing w:before="0" w:after="283"/>
              <w:jc w:val="left"/>
              <w:rPr/>
            </w:pPr>
            <w:r>
              <w:rPr/>
              <w:t>)</w:t>
            </w:r>
            <w:bookmarkStart w:id="185" w:name="xdx_405_eus-gaap--ProceedsFromSaleMaturi"/>
            <w:bookmarkEnd w:id="185"/>
          </w:p>
        </w:tc>
      </w:tr>
      <w:tr>
        <w:trPr/>
        <w:tc>
          <w:tcPr>
            <w:tcW w:w="7993" w:type="dxa"/>
            <w:tcBorders/>
            <w:shd w:fill="CCEEFF" w:val="clear"/>
            <w:vAlign w:val="center"/>
          </w:tcPr>
          <w:p>
            <w:pPr>
              <w:pStyle w:val="TableContents"/>
              <w:bidi w:val="0"/>
              <w:spacing w:before="0" w:after="283"/>
              <w:jc w:val="left"/>
              <w:rPr/>
            </w:pPr>
            <w:r>
              <w:rPr/>
              <w:t>Withdrawal from short-term bank deposits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7,000</w:t>
            </w:r>
          </w:p>
        </w:tc>
        <w:tc>
          <w:tcPr>
            <w:tcW w:w="114" w:type="dxa"/>
            <w:tcBorders/>
            <w:shd w:fill="CCEEFF" w:val="clear"/>
            <w:vAlign w:val="center"/>
          </w:tcPr>
          <w:p>
            <w:pPr>
              <w:pStyle w:val="TableContents"/>
              <w:bidi w:val="0"/>
              <w:spacing w:before="0" w:after="283"/>
              <w:jc w:val="left"/>
              <w:rPr/>
            </w:pPr>
            <w:r>
              <w:rPr/>
              <w:t> </w:t>
            </w:r>
            <w:bookmarkStart w:id="186" w:name="xdx_40E_eus-gaap--PaymentsToAcquireMarke"/>
            <w:bookmarkEnd w:id="186"/>
          </w:p>
        </w:tc>
      </w:tr>
      <w:tr>
        <w:trPr/>
        <w:tc>
          <w:tcPr>
            <w:tcW w:w="7993" w:type="dxa"/>
            <w:tcBorders/>
            <w:shd w:fill="FFFFFF" w:val="clear"/>
            <w:vAlign w:val="center"/>
          </w:tcPr>
          <w:p>
            <w:pPr>
              <w:pStyle w:val="TableContents"/>
              <w:bidi w:val="0"/>
              <w:spacing w:before="0" w:after="283"/>
              <w:jc w:val="left"/>
              <w:rPr/>
            </w:pPr>
            <w:r>
              <w:rPr/>
              <w:t>Investments in marketable securities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(1,960</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87" w:name="xdx_40C_ecustom--ProceedsFromMaturedMark"/>
            <w:bookmarkEnd w:id="187"/>
          </w:p>
        </w:tc>
      </w:tr>
      <w:tr>
        <w:trPr/>
        <w:tc>
          <w:tcPr>
            <w:tcW w:w="7993" w:type="dxa"/>
            <w:tcBorders/>
            <w:shd w:fill="CCEEFF" w:val="clear"/>
            <w:vAlign w:val="center"/>
          </w:tcPr>
          <w:p>
            <w:pPr>
              <w:pStyle w:val="TableContents"/>
              <w:bidi w:val="0"/>
              <w:spacing w:before="0" w:after="283"/>
              <w:jc w:val="left"/>
              <w:rPr/>
            </w:pPr>
            <w:r>
              <w:rPr/>
              <w:t>Proceeds from matured marketable securities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7,000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88" w:name="xdx_40B_ecustom--AmountsWithdrawnInRespe"/>
            <w:bookmarkEnd w:id="188"/>
          </w:p>
        </w:tc>
      </w:tr>
      <w:tr>
        <w:trPr/>
        <w:tc>
          <w:tcPr>
            <w:tcW w:w="7993" w:type="dxa"/>
            <w:tcBorders/>
            <w:shd w:fill="FFFFFF" w:val="clear"/>
            <w:vAlign w:val="center"/>
          </w:tcPr>
          <w:p>
            <w:pPr>
              <w:pStyle w:val="TableContents"/>
              <w:bidi w:val="0"/>
              <w:spacing w:before="0" w:after="283"/>
              <w:jc w:val="left"/>
              <w:rPr/>
            </w:pPr>
            <w:r>
              <w:rPr/>
              <w:t>Amounts funded in respect of employee rights upon retirement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114" w:type="dxa"/>
            <w:tcBorders/>
            <w:shd w:fill="FFFFFF" w:val="clear"/>
            <w:vAlign w:val="center"/>
          </w:tcPr>
          <w:p>
            <w:pPr>
              <w:pStyle w:val="TableContents"/>
              <w:bidi w:val="0"/>
              <w:spacing w:before="0" w:after="283"/>
              <w:jc w:val="left"/>
              <w:rPr/>
            </w:pPr>
            <w:r>
              <w:rPr/>
              <w:t>)</w:t>
            </w:r>
            <w:bookmarkStart w:id="189" w:name="xdx_40F_eus-gaap--NetCashProvidedByUsedI"/>
            <w:bookmarkEnd w:id="189"/>
          </w:p>
        </w:tc>
      </w:tr>
      <w:tr>
        <w:trPr/>
        <w:tc>
          <w:tcPr>
            <w:tcW w:w="7993"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4,817</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4,449</w:t>
            </w:r>
          </w:p>
        </w:tc>
        <w:tc>
          <w:tcPr>
            <w:tcW w:w="114" w:type="dxa"/>
            <w:tcBorders/>
            <w:shd w:fill="CCEEFF" w:val="clear"/>
            <w:vAlign w:val="center"/>
          </w:tcPr>
          <w:p>
            <w:pPr>
              <w:pStyle w:val="TableContents"/>
              <w:bidi w:val="0"/>
              <w:spacing w:before="0" w:after="283"/>
              <w:jc w:val="left"/>
              <w:rPr/>
            </w:pPr>
            <w:r>
              <w:rPr/>
              <w:t> </w:t>
            </w:r>
            <w:bookmarkStart w:id="190" w:name="xdx_40F_eus-gaap--NetCashProvidedByUsedI"/>
            <w:bookmarkEnd w:id="190"/>
          </w:p>
        </w:tc>
      </w:tr>
      <w:tr>
        <w:trPr/>
        <w:tc>
          <w:tcPr>
            <w:tcW w:w="7993"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1" w:name="xdx_408_eus-gaap--NetCashProvidedByUsedI"/>
            <w:bookmarkEnd w:id="191"/>
          </w:p>
        </w:tc>
      </w:tr>
      <w:tr>
        <w:trPr/>
        <w:tc>
          <w:tcPr>
            <w:tcW w:w="7993"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92" w:name="xdx_404_eus-gaap--EffectOfExchangeRateOn"/>
            <w:bookmarkEnd w:id="192"/>
          </w:p>
        </w:tc>
      </w:tr>
      <w:tr>
        <w:trPr/>
        <w:tc>
          <w:tcPr>
            <w:tcW w:w="7993"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14" w:type="dxa"/>
            <w:tcBorders/>
            <w:shd w:fill="FFFFFF" w:val="clear"/>
            <w:vAlign w:val="center"/>
          </w:tcPr>
          <w:p>
            <w:pPr>
              <w:pStyle w:val="TableContents"/>
              <w:bidi w:val="0"/>
              <w:spacing w:before="0" w:after="283"/>
              <w:jc w:val="left"/>
              <w:rPr/>
            </w:pPr>
            <w:r>
              <w:rPr/>
              <w:t>)</w:t>
            </w:r>
            <w:bookmarkStart w:id="193" w:name="xdx_407_eus-gaap--CashCashEquivalentsRes"/>
            <w:bookmarkEnd w:id="193"/>
          </w:p>
        </w:tc>
      </w:tr>
      <w:tr>
        <w:trPr/>
        <w:tc>
          <w:tcPr>
            <w:tcW w:w="7993" w:type="dxa"/>
            <w:tcBorders/>
            <w:shd w:fill="CCEEFF" w:val="clear"/>
            <w:vAlign w:val="center"/>
          </w:tcPr>
          <w:p>
            <w:pPr>
              <w:pStyle w:val="TableContents"/>
              <w:bidi w:val="0"/>
              <w:spacing w:before="0" w:after="283"/>
              <w:jc w:val="left"/>
              <w:rPr>
                <w:b/>
              </w:rPr>
            </w:pPr>
            <w:r>
              <w:rPr>
                <w:b/>
              </w:rPr>
              <w:t>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(251</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(404</w:t>
            </w:r>
          </w:p>
        </w:tc>
        <w:tc>
          <w:tcPr>
            <w:tcW w:w="114" w:type="dxa"/>
            <w:tcBorders/>
            <w:shd w:fill="CCEEFF" w:val="clear"/>
            <w:vAlign w:val="center"/>
          </w:tcPr>
          <w:p>
            <w:pPr>
              <w:pStyle w:val="TableContents"/>
              <w:bidi w:val="0"/>
              <w:spacing w:before="0" w:after="283"/>
              <w:jc w:val="left"/>
              <w:rPr/>
            </w:pPr>
            <w:r>
              <w:rPr/>
              <w:t>)</w:t>
            </w:r>
            <w:bookmarkStart w:id="194" w:name="xdx_406_eus-gaap--CashCashEquivalentsRes"/>
            <w:bookmarkEnd w:id="194"/>
          </w:p>
        </w:tc>
      </w:tr>
      <w:tr>
        <w:trPr/>
        <w:tc>
          <w:tcPr>
            <w:tcW w:w="7993" w:type="dxa"/>
            <w:tcBorders/>
            <w:shd w:fill="FFFFFF" w:val="clear"/>
            <w:vAlign w:val="center"/>
          </w:tcPr>
          <w:p>
            <w:pPr>
              <w:pStyle w:val="TableContents"/>
              <w:bidi w:val="0"/>
              <w:spacing w:before="0" w:after="283"/>
              <w:jc w:val="left"/>
              <w:rPr>
                <w:b/>
              </w:rPr>
            </w:pPr>
            <w:r>
              <w:rPr>
                <w:b/>
              </w:rPr>
              <w:t>BALANCE OF 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9,640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4,632</w:t>
            </w:r>
          </w:p>
        </w:tc>
        <w:tc>
          <w:tcPr>
            <w:tcW w:w="114" w:type="dxa"/>
            <w:tcBorders/>
            <w:shd w:fill="FFFFFF" w:val="clear"/>
            <w:vAlign w:val="center"/>
          </w:tcPr>
          <w:p>
            <w:pPr>
              <w:pStyle w:val="TableContents"/>
              <w:bidi w:val="0"/>
              <w:spacing w:before="0" w:after="283"/>
              <w:jc w:val="left"/>
              <w:rPr/>
            </w:pPr>
            <w:r>
              <w:rPr/>
              <w:t> </w:t>
            </w:r>
            <w:bookmarkStart w:id="195" w:name="xdx_40A_eus-gaap--CashCashEquivalentsRes"/>
            <w:bookmarkEnd w:id="195"/>
          </w:p>
        </w:tc>
      </w:tr>
      <w:tr>
        <w:trPr/>
        <w:tc>
          <w:tcPr>
            <w:tcW w:w="7993" w:type="dxa"/>
            <w:tcBorders/>
            <w:shd w:fill="CCEEFF" w:val="clear"/>
            <w:vAlign w:val="center"/>
          </w:tcPr>
          <w:p>
            <w:pPr>
              <w:pStyle w:val="TableContents"/>
              <w:bidi w:val="0"/>
              <w:spacing w:before="0" w:after="283"/>
              <w:jc w:val="left"/>
              <w:rPr>
                <w:b/>
              </w:rPr>
            </w:pPr>
            <w:r>
              <w:rPr>
                <w:b/>
              </w:rPr>
              <w:t>BALANCE OF 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pPr>
            <w:r>
              <w:rPr/>
              <w:t>9,389</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pPr>
            <w:r>
              <w:rPr/>
              <w:t>4,228</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96" w:name="a_005"/>
      <w:bookmarkEnd w:id="196"/>
      <w:r>
        <w:rPr>
          <w:rFonts w:ascii="Times New Roman;Times;Serif" w:hAnsi="Times New Roman;Times;Serif"/>
          <w:b w:val="false"/>
          <w:i w:val="false"/>
          <w:caps w:val="false"/>
          <w:smallCaps w:val="false"/>
          <w:sz w:val="20"/>
        </w:rPr>
        <w:t>UNAUDITED 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7" w:name="xdx_80A_eus-gaap--NatureOfOperations_zar"/>
      <w:bookmarkEnd w:id="197"/>
      <w:r>
        <w:rPr>
          <w:rFonts w:ascii="Times New Roman;Times;Serif" w:hAnsi="Times New Roman;Times;Serif"/>
          <w:b/>
          <w:i w:val="false"/>
          <w:caps w:val="false"/>
          <w:smallCaps w:val="false"/>
          <w:sz w:val="20"/>
        </w:rPr>
        <w:t xml:space="preserve">NOTE 1 - </w:t>
      </w:r>
      <w:bookmarkStart w:id="198" w:name="xdx_822_zPXYA0O8RzHi"/>
      <w:bookmarkEnd w:id="198"/>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InspireMD, Inc., a Delaware corporation (the “Company”), together with its subsidiaries, is a medical device company focusing on the development and commercialization of its proprietary MicroNet™ stent platform technology for the treatment of complex vascular and coronary disease. MicroNet, a micron mesh sleeve, is wrapped over a stent to provide embolic protection in stenting procedures.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carotid product (CGuard™ EPS) combines MicroNet and a self-expandable nitinol stent in a single device to treat carotid artery disease.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markets its product through distributors in international markets, mainly in Europe.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issuance of these consolidated financial statements, the Company has the ability to fund its planned operations for at least the next 12 months. However, the Company expects to continue incurring losses and negative cash flows from operations until its product, CGuard™ EPS, reaches commercial profitability. Therefore, in order to fund the Company’s operations until such time that the Company can generate substantial revenues, the Company may need to raise additional funds.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6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Company’s Operations in Israel including the recent attack by Hamas and other terrorist organizations from the Gaza Strip and Israel’s war against them.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Israel was attacked by a terrorist organization and entered a state of war. As of the date of these consolidated financial statements, the war in Israel is ongoing and continues to evolve. The Company operations, including its production facility, are located in Israel. Currently, such activities in Israel remain largely unaffected. During the three months ended March 31, 2024, the impact of this war on the Company’s results of operations and financial condition was immaterial, but such impact may increase, which could be material, as a result of the continuation, escalation or expansion of such war.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9" w:name="xdx_808_eus-gaap--BasisOfAccounting_zt3n"/>
      <w:bookmarkEnd w:id="199"/>
      <w:r>
        <w:rPr>
          <w:rFonts w:ascii="Times New Roman;Times;Serif" w:hAnsi="Times New Roman;Times;Serif"/>
          <w:b/>
          <w:i w:val="false"/>
          <w:caps w:val="false"/>
          <w:smallCaps w:val="false"/>
          <w:sz w:val="20"/>
        </w:rPr>
        <w:t xml:space="preserve">NOTE 2 - </w:t>
      </w:r>
      <w:bookmarkStart w:id="200" w:name="xdx_824_zgnYNPrQTl6l"/>
      <w:bookmarkEnd w:id="200"/>
      <w:r>
        <w:rPr>
          <w:rFonts w:ascii="Times New Roman;Times;Serif" w:hAnsi="Times New Roman;Times;Serif"/>
          <w:b/>
          <w:i w:val="false"/>
          <w:caps w:val="false"/>
          <w:smallCaps w:val="false"/>
          <w:sz w:val="20"/>
        </w:rPr>
        <w:t>BASIS OF PRESENTATION</w:t>
      </w:r>
    </w:p>
    <w:p>
      <w:pPr>
        <w:pStyle w:val="TextBody"/>
        <w:bidi w:val="0"/>
        <w:spacing w:before="0" w:after="0"/>
        <w:ind w:left="1440" w:right="0" w:hanging="24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on the same basis as the annual consolidated financial statements. In the opinion of the Company, the financial statements reflect all adjustments, which include only normal recurring adjustments, necessary for a fair statement of its financial position as of March 31, 2024 and its results of operations, changes in equity and cash flows for the three months ended March 31, 2024 and 2023. These consolidated financial statements and notes thereto are unaudited and should be read in conjunction with the Company’s audited financial statements for the year ended December 31, 2023, as found in the Company’s Annual Report on Form 10-K, filed with the Securities and Exchange Commission on March 5, 2024. The results of operations for the three months ended March 31, 2024 are not necessarily indicative of results that could be expected for the entire fiscal year.</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1" w:name="xdx_808_eus-gaap--NewAccountingPronounce"/>
      <w:bookmarkEnd w:id="201"/>
      <w:r>
        <w:rPr>
          <w:rFonts w:ascii="Times New Roman;Times;Serif" w:hAnsi="Times New Roman;Times;Serif"/>
          <w:b/>
          <w:i w:val="false"/>
          <w:caps w:val="false"/>
          <w:smallCaps w:val="false"/>
          <w:sz w:val="20"/>
        </w:rPr>
        <w:t xml:space="preserve">NOTE 3 - </w:t>
      </w:r>
      <w:bookmarkStart w:id="202" w:name="xdx_82C_zQlg8aqZZk08"/>
      <w:bookmarkEnd w:id="202"/>
      <w:r>
        <w:rPr>
          <w:rFonts w:ascii="Times New Roman;Times;Serif" w:hAnsi="Times New Roman;Times;Serif"/>
          <w:b/>
          <w:i w:val="false"/>
          <w:caps w:val="false"/>
          <w:smallCaps w:val="false"/>
          <w:sz w:val="20"/>
        </w:rPr>
        <w:t>RECENTLY ADOPTED AND ISSUED ACCOUNTING PRONOUNCEMENTS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Financial Accounting Standards Board (“FASB”) issued Accounting Standards Update (“ASU”) 2020-06 “Debt – Debt with Conversion and Other Options (Subtopic 470-20) and Derivatives and Hedging – Contracts in Entity’s Own Equity (Subtopic 815 – 40).” This guidance simplifies the accounting for certain financial instruments with characteristics of liabilities and equity, including convertible instruments and contracts on an entity’s own equity. This ASU is effective for the Company for fiscal years beginning after December 15, 2023, and interim periods within those fiscal years. The Company adopted the provisions of this update as of January 1, 2024 with no material impact on its consolidated financial statements.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 not yet adopted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Public entities with a single reportable segment are required to provide the new disclosures and all the disclosures required under Accounting Standards Codification (“ASC”) 280.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consolidated financial statements related disclosures.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bookmarkStart w:id="203" w:name="xdx_80B_eus-gaap--FairValueDisclosuresTe"/>
      <w:bookmarkEnd w:id="203"/>
      <w:r>
        <w:rPr>
          <w:rFonts w:ascii="Times New Roman;Times;Serif" w:hAnsi="Times New Roman;Times;Serif"/>
          <w:b/>
          <w:i/>
          <w:caps w:val="false"/>
          <w:smallCaps w:val="false"/>
          <w:sz w:val="20"/>
        </w:rPr>
        <w:t xml:space="preserve">NOTE 4 – </w:t>
      </w:r>
      <w:bookmarkStart w:id="204" w:name="xdx_82B_zisL9GlSSSX3"/>
      <w:bookmarkEnd w:id="204"/>
      <w:r>
        <w:rPr>
          <w:rFonts w:ascii="Times New Roman;Times;Serif" w:hAnsi="Times New Roman;Times;Serif"/>
          <w:b/>
          <w:i/>
          <w:caps w:val="false"/>
          <w:smallCaps w:val="false"/>
          <w:sz w:val="20"/>
        </w:rPr>
        <w:t>FAIR VALUE MEASUREMENTS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that are accessible at the measurement date for assets or liabilities. The fair value hierarchy gives the highest priority to Level 1 inputs.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prices that are based on inputs not quoted on active markets but corroborated by market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are used when little or no market data is available. The fair value hierarchy gives the lowest priority to Level 3 inputs.</w:t>
      </w:r>
    </w:p>
    <w:p>
      <w:pPr>
        <w:pStyle w:val="TextBody"/>
        <w:bidi w:val="0"/>
        <w:spacing w:before="0" w:after="0"/>
        <w:ind w:left="108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05" w:name="xdx_89A_eus-gaap--FairValueAssetsMeasure"/>
      <w:bookmarkEnd w:id="205"/>
      <w:r>
        <w:rPr>
          <w:rFonts w:ascii="Times New Roman;Times;Serif" w:hAnsi="Times New Roman;Times;Serif"/>
          <w:b w:val="false"/>
          <w:i w:val="false"/>
          <w:caps w:val="false"/>
          <w:smallCaps w:val="false"/>
          <w:sz w:val="20"/>
        </w:rPr>
        <w:t>The Company’s financial assets subject to fair value measurements on a recurring basis and the level of inputs used in such measurements were as follows:</w:t>
      </w:r>
    </w:p>
    <w:p>
      <w:pPr>
        <w:pStyle w:val="TextBody"/>
        <w:shd w:fill="FFFFFF" w:val="clear"/>
        <w:bidi w:val="0"/>
        <w:spacing w:before="0" w:after="0"/>
        <w:ind w:left="719" w:right="0" w:hanging="0"/>
        <w:jc w:val="left"/>
        <w:rPr>
          <w:caps w:val="false"/>
          <w:smallCaps w:val="false"/>
        </w:rPr>
      </w:pPr>
      <w:r>
        <w:rPr>
          <w:caps w:val="false"/>
          <w:smallCaps w:val="false"/>
        </w:rPr>
        <w:t> </w:t>
      </w:r>
      <w:bookmarkStart w:id="206" w:name="xdx_8B9_zmWqRXyYnSO4"/>
      <w:bookmarkEnd w:id="206"/>
      <w:r>
        <w:rPr>
          <w:rFonts w:ascii="Times New Roman;Times;Serif" w:hAnsi="Times New Roman;Times;Serif"/>
          <w:b w:val="false"/>
          <w:i w:val="false"/>
          <w:caps w:val="false"/>
          <w:smallCaps w:val="false"/>
          <w:sz w:val="20"/>
        </w:rPr>
        <w:t>SCHEDULE OF FINANCIAL ASSETS SUBJECT TO FAIR VALUE MEASUREMENTS</w:t>
      </w:r>
    </w:p>
    <w:tbl>
      <w:tblPr>
        <w:tblW w:w="5869" w:type="dxa"/>
        <w:jc w:val="left"/>
        <w:tblInd w:w="0" w:type="dxa"/>
        <w:tblLayout w:type="fixed"/>
        <w:tblCellMar>
          <w:top w:w="0" w:type="dxa"/>
          <w:left w:w="0" w:type="dxa"/>
          <w:bottom w:w="0" w:type="dxa"/>
          <w:right w:w="0" w:type="dxa"/>
        </w:tblCellMar>
      </w:tblPr>
      <w:tblGrid>
        <w:gridCol w:w="2225"/>
        <w:gridCol w:w="60"/>
        <w:gridCol w:w="140"/>
        <w:gridCol w:w="680"/>
        <w:gridCol w:w="60"/>
        <w:gridCol w:w="60"/>
        <w:gridCol w:w="151"/>
        <w:gridCol w:w="604"/>
        <w:gridCol w:w="60"/>
        <w:gridCol w:w="60"/>
        <w:gridCol w:w="140"/>
        <w:gridCol w:w="680"/>
        <w:gridCol w:w="60"/>
        <w:gridCol w:w="60"/>
        <w:gridCol w:w="221"/>
        <w:gridCol w:w="533"/>
        <w:gridCol w:w="75"/>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7" w:name="xdx_495_20240331__us-gaap--FairValueByMe"/>
            <w:bookmarkEnd w:id="207"/>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8" w:name="xdx_493_20240331__us-gaap--FairValueByMe"/>
            <w:bookmarkEnd w:id="208"/>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9" w:name="xdx_497_20240331__us-gaap--FairValueByMe"/>
            <w:bookmarkEnd w:id="209"/>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0" w:name="xdx_497_20240331__us-gaap--FairValueByMe"/>
            <w:bookmarkEnd w:id="210"/>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thousands)</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11" w:name="xdx_406_eus-gaap--CashAndCashEquivalents"/>
            <w:bookmarkEnd w:id="211"/>
          </w:p>
        </w:tc>
      </w:tr>
      <w:tr>
        <w:trPr/>
        <w:tc>
          <w:tcPr>
            <w:tcW w:w="2225"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3,745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12" w:name="xdx_406_eus-gaap--SecuritiesBorrowedFair"/>
            <w:bookmarkEnd w:id="212"/>
          </w:p>
        </w:tc>
      </w:tr>
      <w:tr>
        <w:trPr/>
        <w:tc>
          <w:tcPr>
            <w:tcW w:w="2225" w:type="dxa"/>
            <w:tcBorders/>
            <w:shd w:fill="FFFFFF" w:val="clear"/>
            <w:vAlign w:val="center"/>
          </w:tcPr>
          <w:p>
            <w:pPr>
              <w:pStyle w:val="TableContents"/>
              <w:bidi w:val="0"/>
              <w:spacing w:before="0" w:after="283"/>
              <w:jc w:val="left"/>
              <w:rPr/>
            </w:pPr>
            <w:r>
              <w:rPr/>
              <w:t>U.S government bonds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24,561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24,561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719" w:right="0" w:hanging="0"/>
        <w:jc w:val="left"/>
        <w:rPr>
          <w:caps w:val="false"/>
          <w:smallCaps w:val="false"/>
        </w:rPr>
      </w:pPr>
      <w:r>
        <w:rPr>
          <w:caps w:val="false"/>
          <w:smallCaps w:val="false"/>
        </w:rPr>
        <w:t> </w:t>
      </w:r>
    </w:p>
    <w:tbl>
      <w:tblPr>
        <w:tblW w:w="5869" w:type="dxa"/>
        <w:jc w:val="left"/>
        <w:tblInd w:w="0" w:type="dxa"/>
        <w:tblLayout w:type="fixed"/>
        <w:tblCellMar>
          <w:top w:w="0" w:type="dxa"/>
          <w:left w:w="0" w:type="dxa"/>
          <w:bottom w:w="0" w:type="dxa"/>
          <w:right w:w="0" w:type="dxa"/>
        </w:tblCellMar>
      </w:tblPr>
      <w:tblGrid>
        <w:gridCol w:w="2225"/>
        <w:gridCol w:w="60"/>
        <w:gridCol w:w="140"/>
        <w:gridCol w:w="680"/>
        <w:gridCol w:w="60"/>
        <w:gridCol w:w="60"/>
        <w:gridCol w:w="151"/>
        <w:gridCol w:w="604"/>
        <w:gridCol w:w="60"/>
        <w:gridCol w:w="60"/>
        <w:gridCol w:w="140"/>
        <w:gridCol w:w="680"/>
        <w:gridCol w:w="60"/>
        <w:gridCol w:w="60"/>
        <w:gridCol w:w="253"/>
        <w:gridCol w:w="501"/>
        <w:gridCol w:w="75"/>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3" w:name="xdx_49A_20231231__us-gaap--FairValueByMe"/>
            <w:bookmarkEnd w:id="213"/>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4" w:name="xdx_491_20231231__us-gaap--FairValueByMe"/>
            <w:bookmarkEnd w:id="214"/>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 w:name="xdx_498_20231231__us-gaap--FairValueByMe"/>
            <w:bookmarkEnd w:id="215"/>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6" w:name="xdx_49F_20231231__us-gaap--FairValueByMe"/>
            <w:bookmarkEnd w:id="216"/>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09"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thousands)</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17" w:name="xdx_406_eus-gaap--CashAndCashEquivalents"/>
            <w:bookmarkEnd w:id="217"/>
          </w:p>
        </w:tc>
      </w:tr>
      <w:tr>
        <w:trPr/>
        <w:tc>
          <w:tcPr>
            <w:tcW w:w="2225"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bookmarkStart w:id="218" w:name="xdx_408_eus-gaap--CashAndCashEquivalents"/>
            <w:bookmarkEnd w:id="218"/>
          </w:p>
        </w:tc>
      </w:tr>
      <w:tr>
        <w:trPr/>
        <w:tc>
          <w:tcPr>
            <w:tcW w:w="2225"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19" w:name="xdx_404_eus-gaap--SecuritiesBorrowedFair"/>
            <w:bookmarkEnd w:id="219"/>
          </w:p>
        </w:tc>
      </w:tr>
      <w:tr>
        <w:trPr/>
        <w:tc>
          <w:tcPr>
            <w:tcW w:w="2225" w:type="dxa"/>
            <w:tcBorders/>
            <w:shd w:fill="FFFFFF" w:val="clear"/>
            <w:vAlign w:val="center"/>
          </w:tcPr>
          <w:p>
            <w:pPr>
              <w:pStyle w:val="TableContents"/>
              <w:bidi w:val="0"/>
              <w:spacing w:before="0" w:after="283"/>
              <w:jc w:val="left"/>
              <w:rPr/>
            </w:pPr>
            <w:r>
              <w:rPr/>
              <w:t>U.S government bonds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29,383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29,383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20" w:name="xdx_40F_eus-gaap--SecuritiesBorrowedFair"/>
            <w:bookmarkEnd w:id="220"/>
          </w:p>
        </w:tc>
      </w:tr>
      <w:tr>
        <w:trPr/>
        <w:tc>
          <w:tcPr>
            <w:tcW w:w="222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29,383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29,383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bookmarkStart w:id="221" w:name="xdx_8AB_zQH45EY25Dy3"/>
      <w:bookmarkEnd w:id="221"/>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debt securities are classified within Level 2 because it uses quoted market prices or alternative pricing sources and models utilizing market observable inputs to determine their fair value.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marketable securities as of March 31, 2024 is $</w:t>
      </w:r>
      <w:bookmarkStart w:id="222" w:name="xdx_90C_eus-gaap--SecuritiesBorrowedFair"/>
      <w:bookmarkEnd w:id="222"/>
      <w:r>
        <w:rPr>
          <w:rFonts w:ascii="Times New Roman;Times;Serif" w:hAnsi="Times New Roman;Times;Serif"/>
          <w:b w:val="false"/>
          <w:i w:val="false"/>
          <w:caps w:val="false"/>
          <w:smallCaps w:val="false"/>
          <w:sz w:val="20"/>
        </w:rPr>
        <w:t>23,878 thousand.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included in working capital approximate their fair value due to the relatively short-term maturities of such instruments.</w:t>
      </w:r>
    </w:p>
    <w:p>
      <w:pPr>
        <w:pStyle w:val="TextBody"/>
        <w:bidi w:val="0"/>
        <w:spacing w:before="0" w:after="0"/>
        <w:ind w:left="971" w:right="0" w:firstLine="22"/>
        <w:jc w:val="both"/>
        <w:rPr>
          <w:caps w:val="false"/>
          <w:smallCaps w:val="false"/>
        </w:rPr>
      </w:pPr>
      <w:r>
        <w:rPr>
          <w:caps w:val="false"/>
          <w:smallCaps w:val="false"/>
        </w:rPr>
        <w:t> </w:t>
      </w:r>
    </w:p>
    <w:tbl>
      <w:tblPr>
        <w:tblW w:w="8075" w:type="dxa"/>
        <w:jc w:val="left"/>
        <w:tblInd w:w="0" w:type="dxa"/>
        <w:tblLayout w:type="fixed"/>
        <w:tblCellMar>
          <w:top w:w="0" w:type="dxa"/>
          <w:left w:w="0" w:type="dxa"/>
          <w:bottom w:w="0" w:type="dxa"/>
          <w:right w:w="0" w:type="dxa"/>
        </w:tblCellMar>
      </w:tblPr>
      <w:tblGrid>
        <w:gridCol w:w="75"/>
        <w:gridCol w:w="60"/>
        <w:gridCol w:w="7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and December 31, 2023, allowance for expected credit loss was immaterial.</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3" w:name="xdx_803_eus-gaap--InvestmentsInDebtAndMa"/>
      <w:bookmarkEnd w:id="223"/>
      <w:r>
        <w:rPr>
          <w:rFonts w:ascii="Times New Roman;Times;Serif" w:hAnsi="Times New Roman;Times;Serif"/>
          <w:b/>
          <w:i w:val="false"/>
          <w:caps w:val="false"/>
          <w:smallCaps w:val="false"/>
          <w:sz w:val="20"/>
        </w:rPr>
        <w:t xml:space="preserve">NOTE 5 - </w:t>
      </w:r>
      <w:bookmarkStart w:id="224" w:name="xdx_826_z9RjdxLE5ggl"/>
      <w:bookmarkEnd w:id="224"/>
      <w:r>
        <w:rPr>
          <w:rFonts w:ascii="Times New Roman;Times;Serif" w:hAnsi="Times New Roman;Times;Serif"/>
          <w:b/>
          <w:i w:val="false"/>
          <w:caps w:val="false"/>
          <w:smallCaps w:val="false"/>
          <w:sz w:val="20"/>
        </w:rPr>
        <w:t>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bookmarkStart w:id="225" w:name="xdx_893_eus-gaap--MarketableSecuritiesTe"/>
      <w:bookmarkEnd w:id="225"/>
      <w:r>
        <w:rPr>
          <w:rFonts w:ascii="Times New Roman;Times;Serif" w:hAnsi="Times New Roman;Times;Serif"/>
          <w:b w:val="false"/>
          <w:i w:val="false"/>
          <w:caps w:val="false"/>
          <w:smallCaps w:val="false"/>
          <w:sz w:val="20"/>
        </w:rPr>
        <w:t>The following table sets forth the Company’s marketable securities for the indicated period:</w:t>
      </w:r>
    </w:p>
    <w:p>
      <w:pPr>
        <w:pStyle w:val="TextBody"/>
        <w:shd w:fill="FFFFFF" w:val="clear"/>
        <w:bidi w:val="0"/>
        <w:spacing w:before="0" w:after="0"/>
        <w:ind w:left="719" w:right="0" w:hanging="0"/>
        <w:jc w:val="left"/>
        <w:rPr>
          <w:caps w:val="false"/>
          <w:smallCaps w:val="false"/>
        </w:rPr>
      </w:pPr>
      <w:r>
        <w:rPr>
          <w:caps w:val="false"/>
          <w:smallCaps w:val="false"/>
        </w:rPr>
        <w:t> </w:t>
      </w:r>
    </w:p>
    <w:p>
      <w:pPr>
        <w:pStyle w:val="TextBody"/>
        <w:shd w:fill="FFFFFF" w:val="clear"/>
        <w:bidi w:val="0"/>
        <w:spacing w:before="0" w:after="0"/>
        <w:ind w:left="719" w:right="0" w:hanging="0"/>
        <w:jc w:val="left"/>
        <w:rPr>
          <w:caps w:val="false"/>
          <w:smallCaps w:val="false"/>
        </w:rPr>
      </w:pPr>
      <w:r>
        <w:rPr>
          <w:caps w:val="false"/>
          <w:smallCaps w:val="false"/>
        </w:rPr>
        <w:t> </w:t>
      </w:r>
      <w:bookmarkStart w:id="226" w:name="xdx_8BE_zv976H5BJaa7"/>
      <w:bookmarkEnd w:id="226"/>
      <w:r>
        <w:rPr>
          <w:rFonts w:ascii="Times New Roman;Times;Serif" w:hAnsi="Times New Roman;Times;Serif"/>
          <w:b w:val="false"/>
          <w:i w:val="false"/>
          <w:caps w:val="false"/>
          <w:smallCaps w:val="false"/>
          <w:sz w:val="20"/>
        </w:rPr>
        <w:t>SCHEDULE OF MARKETABLE SECURITIES</w:t>
      </w:r>
    </w:p>
    <w:tbl>
      <w:tblPr>
        <w:tblW w:w="4963" w:type="dxa"/>
        <w:jc w:val="left"/>
        <w:tblInd w:w="0" w:type="dxa"/>
        <w:tblLayout w:type="fixed"/>
        <w:tblCellMar>
          <w:top w:w="0" w:type="dxa"/>
          <w:left w:w="0" w:type="dxa"/>
          <w:bottom w:w="0" w:type="dxa"/>
          <w:right w:w="0" w:type="dxa"/>
        </w:tblCellMar>
      </w:tblPr>
      <w:tblGrid>
        <w:gridCol w:w="2225"/>
        <w:gridCol w:w="60"/>
        <w:gridCol w:w="182"/>
        <w:gridCol w:w="887"/>
        <w:gridCol w:w="60"/>
        <w:gridCol w:w="60"/>
        <w:gridCol w:w="241"/>
        <w:gridCol w:w="1173"/>
        <w:gridCol w:w="75"/>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7" w:name="xdx_495_20240331_zu0S8rPcfOu9"/>
            <w:bookmarkEnd w:id="227"/>
          </w:p>
        </w:tc>
        <w:tc>
          <w:tcPr>
            <w:tcW w:w="1069" w:type="dxa"/>
            <w:gridSpan w:val="2"/>
            <w:tcBorders>
              <w:bottom w:val="single" w:sz="12" w:space="0" w:color="000000"/>
            </w:tcBorders>
            <w:tcMar>
              <w:bottom w:w="28" w:type="dxa"/>
            </w:tcMar>
            <w:vAlign w:val="center"/>
          </w:tcPr>
          <w:p>
            <w:pPr>
              <w:pStyle w:val="TableContents"/>
              <w:bidi w:val="0"/>
              <w:jc w:val="center"/>
              <w:rPr>
                <w:b/>
              </w:rPr>
            </w:pPr>
            <w:r>
              <w:rPr>
                <w:b/>
              </w:rPr>
              <w:t>March 31,</w:t>
            </w:r>
          </w:p>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8" w:name="xdx_49B_20231231_ziLOvZJBAlIl"/>
            <w:bookmarkEnd w:id="228"/>
          </w:p>
        </w:tc>
        <w:tc>
          <w:tcPr>
            <w:tcW w:w="1414"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229" w:name="xdx_40C_eus-gaap--MarketableSecuritiesCu"/>
            <w:bookmarkEnd w:id="229"/>
          </w:p>
        </w:tc>
      </w:tr>
      <w:tr>
        <w:trPr/>
        <w:tc>
          <w:tcPr>
            <w:tcW w:w="2225" w:type="dxa"/>
            <w:tcBorders/>
            <w:shd w:fill="CCEEFF" w:val="clear"/>
            <w:vAlign w:val="center"/>
          </w:tcPr>
          <w:p>
            <w:pPr>
              <w:pStyle w:val="TableContents"/>
              <w:bidi w:val="0"/>
              <w:spacing w:before="0" w:after="283"/>
              <w:jc w:val="left"/>
              <w:rPr/>
            </w:pPr>
            <w:r>
              <w:rPr/>
              <w:t>U.S government bonds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24,561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29,383</w:t>
            </w:r>
          </w:p>
        </w:tc>
        <w:tc>
          <w:tcPr>
            <w:tcW w:w="75" w:type="dxa"/>
            <w:tcBorders/>
            <w:shd w:fill="CCEEFF" w:val="clear"/>
            <w:vAlign w:val="center"/>
          </w:tcPr>
          <w:p>
            <w:pPr>
              <w:pStyle w:val="TableContents"/>
              <w:bidi w:val="0"/>
              <w:spacing w:before="0" w:after="283"/>
              <w:jc w:val="left"/>
              <w:rPr/>
            </w:pPr>
            <w:r>
              <w:rPr/>
              <w:t> </w:t>
            </w:r>
            <w:bookmarkStart w:id="230" w:name="xdx_40D_eus-gaap--MarketableSecuritiesCu"/>
            <w:bookmarkEnd w:id="230"/>
          </w:p>
        </w:tc>
      </w:tr>
      <w:tr>
        <w:trPr/>
        <w:tc>
          <w:tcPr>
            <w:tcW w:w="222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24,561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29,383</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719" w:right="0" w:hanging="0"/>
        <w:jc w:val="left"/>
        <w:rPr>
          <w:caps w:val="false"/>
          <w:smallCaps w:val="false"/>
        </w:rPr>
      </w:pPr>
      <w:bookmarkStart w:id="231" w:name="xdx_8AD_zy83eHBeXHUk"/>
      <w:bookmarkEnd w:id="231"/>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bookmarkStart w:id="232" w:name="xdx_890_ecustom--FairValueOfMarketableSe"/>
      <w:bookmarkEnd w:id="232"/>
      <w:r>
        <w:rPr>
          <w:rFonts w:ascii="Times New Roman;Times;Serif" w:hAnsi="Times New Roman;Times;Serif"/>
          <w:b w:val="false"/>
          <w:i w:val="false"/>
          <w:caps w:val="false"/>
          <w:smallCaps w:val="false"/>
          <w:sz w:val="20"/>
        </w:rPr>
        <w:t>The following table summarizes the fair value of the Company’s marketable securities classified by maturity as of March 31, 2024, and December 31, 2023:</w:t>
      </w:r>
    </w:p>
    <w:p>
      <w:pPr>
        <w:pStyle w:val="TextBody"/>
        <w:shd w:fill="FFFFFF" w:val="clear"/>
        <w:bidi w:val="0"/>
        <w:spacing w:before="0" w:after="0"/>
        <w:ind w:left="719" w:right="0" w:hanging="0"/>
        <w:jc w:val="both"/>
        <w:rPr>
          <w:caps w:val="false"/>
          <w:smallCaps w:val="false"/>
        </w:rPr>
      </w:pPr>
      <w:r>
        <w:rPr>
          <w:caps w:val="false"/>
          <w:smallCaps w:val="false"/>
        </w:rPr>
        <w:t> </w:t>
      </w:r>
    </w:p>
    <w:p>
      <w:pPr>
        <w:pStyle w:val="TextBody"/>
        <w:shd w:fill="FFFFFF" w:val="clear"/>
        <w:bidi w:val="0"/>
        <w:spacing w:before="0" w:after="0"/>
        <w:ind w:left="719" w:right="0" w:hanging="0"/>
        <w:jc w:val="both"/>
        <w:rPr>
          <w:caps w:val="false"/>
          <w:smallCaps w:val="false"/>
        </w:rPr>
      </w:pPr>
      <w:r>
        <w:rPr>
          <w:caps w:val="false"/>
          <w:smallCaps w:val="false"/>
        </w:rPr>
        <w:t> </w:t>
      </w:r>
      <w:bookmarkStart w:id="233" w:name="xdx_8B4_zALmx0LskjHc"/>
      <w:bookmarkEnd w:id="233"/>
      <w:r>
        <w:rPr>
          <w:rFonts w:ascii="Times New Roman;Times;Serif" w:hAnsi="Times New Roman;Times;Serif"/>
          <w:b w:val="false"/>
          <w:i w:val="false"/>
          <w:caps w:val="false"/>
          <w:smallCaps w:val="false"/>
          <w:sz w:val="20"/>
        </w:rPr>
        <w:t>SCHEDULE OF FAIR VALUE OF MARKETABLE SECURITIES CLASSIFIED BY MATURITY</w:t>
      </w:r>
    </w:p>
    <w:tbl>
      <w:tblPr>
        <w:tblW w:w="7663" w:type="dxa"/>
        <w:jc w:val="left"/>
        <w:tblInd w:w="0" w:type="dxa"/>
        <w:tblLayout w:type="fixed"/>
        <w:tblCellMar>
          <w:top w:w="0" w:type="dxa"/>
          <w:left w:w="0" w:type="dxa"/>
          <w:bottom w:w="0" w:type="dxa"/>
          <w:right w:w="0" w:type="dxa"/>
        </w:tblCellMar>
      </w:tblPr>
      <w:tblGrid>
        <w:gridCol w:w="4925"/>
        <w:gridCol w:w="60"/>
        <w:gridCol w:w="182"/>
        <w:gridCol w:w="887"/>
        <w:gridCol w:w="60"/>
        <w:gridCol w:w="60"/>
        <w:gridCol w:w="241"/>
        <w:gridCol w:w="1173"/>
        <w:gridCol w:w="75"/>
      </w:tblGrid>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34" w:name="xdx_494_20240331_zFJ0X7E2Rfhl"/>
            <w:bookmarkEnd w:id="234"/>
          </w:p>
        </w:tc>
        <w:tc>
          <w:tcPr>
            <w:tcW w:w="1069" w:type="dxa"/>
            <w:gridSpan w:val="2"/>
            <w:tcBorders>
              <w:bottom w:val="single" w:sz="12" w:space="0" w:color="000000"/>
            </w:tcBorders>
            <w:tcMar>
              <w:bottom w:w="28" w:type="dxa"/>
            </w:tcMar>
            <w:vAlign w:val="center"/>
          </w:tcPr>
          <w:p>
            <w:pPr>
              <w:pStyle w:val="TableContents"/>
              <w:bidi w:val="0"/>
              <w:jc w:val="center"/>
              <w:rPr>
                <w:b/>
              </w:rPr>
            </w:pPr>
            <w:r>
              <w:rPr>
                <w:b/>
              </w:rPr>
              <w:t>March 31,</w:t>
            </w:r>
          </w:p>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5" w:name="xdx_497_20231231_zWskgfZaXWeh"/>
            <w:bookmarkEnd w:id="235"/>
          </w:p>
        </w:tc>
        <w:tc>
          <w:tcPr>
            <w:tcW w:w="1414"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236" w:name="xdx_40B_ecustom--MarketableSecuritiesMat"/>
            <w:bookmarkEnd w:id="236"/>
          </w:p>
        </w:tc>
      </w:tr>
      <w:tr>
        <w:trPr/>
        <w:tc>
          <w:tcPr>
            <w:tcW w:w="4925" w:type="dxa"/>
            <w:tcBorders/>
            <w:shd w:fill="CCEEFF" w:val="clear"/>
            <w:vAlign w:val="center"/>
          </w:tcPr>
          <w:p>
            <w:pPr>
              <w:pStyle w:val="TableContents"/>
              <w:bidi w:val="0"/>
              <w:spacing w:before="0" w:after="283"/>
              <w:jc w:val="left"/>
              <w:rPr/>
            </w:pPr>
            <w:r>
              <w:rPr/>
              <w:t>Amounts maturing within one year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23,573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24,523</w:t>
            </w:r>
          </w:p>
        </w:tc>
        <w:tc>
          <w:tcPr>
            <w:tcW w:w="75" w:type="dxa"/>
            <w:tcBorders/>
            <w:shd w:fill="CCEEFF" w:val="clear"/>
            <w:vAlign w:val="center"/>
          </w:tcPr>
          <w:p>
            <w:pPr>
              <w:pStyle w:val="TableContents"/>
              <w:bidi w:val="0"/>
              <w:spacing w:before="0" w:after="283"/>
              <w:jc w:val="left"/>
              <w:rPr/>
            </w:pPr>
            <w:r>
              <w:rPr/>
              <w:t> </w:t>
            </w:r>
            <w:bookmarkStart w:id="237" w:name="xdx_40E_ecustom--MarketableSecuritiesMat"/>
            <w:bookmarkEnd w:id="237"/>
          </w:p>
        </w:tc>
      </w:tr>
      <w:tr>
        <w:trPr/>
        <w:tc>
          <w:tcPr>
            <w:tcW w:w="4925" w:type="dxa"/>
            <w:tcBorders/>
            <w:shd w:fill="FFFFFF" w:val="clear"/>
            <w:vAlign w:val="center"/>
          </w:tcPr>
          <w:p>
            <w:pPr>
              <w:pStyle w:val="TableContents"/>
              <w:bidi w:val="0"/>
              <w:spacing w:before="0" w:after="283"/>
              <w:jc w:val="left"/>
              <w:rPr/>
            </w:pPr>
            <w:r>
              <w:rPr/>
              <w:t>Amounts maturing after one year through two years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4,860</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38" w:name="xdx_98E_eus-gaap--MarketableSecuritiesCu"/>
            <w:bookmarkEnd w:id="238"/>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24,561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39" w:name="xdx_988_eus-gaap--MarketableSecuritiesCu"/>
            <w:bookmarkEnd w:id="239"/>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29,383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40" w:name="xdx_8A1_zomfJac37Zl2"/>
      <w:bookmarkEnd w:id="240"/>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bookmarkStart w:id="241" w:name="xdx_899_ecustom--ScheduleOfChangesInFair"/>
      <w:bookmarkEnd w:id="241"/>
      <w:r>
        <w:rPr>
          <w:rFonts w:ascii="Times New Roman;Times;Serif" w:hAnsi="Times New Roman;Times;Serif"/>
          <w:b w:val="false"/>
          <w:i w:val="false"/>
          <w:caps w:val="false"/>
          <w:smallCaps w:val="false"/>
          <w:sz w:val="20"/>
        </w:rPr>
        <w:t>The table below sets forth a summary of the changes in the fair value of the Company’s marketable securities for the three month period ended March 31, 2024:</w:t>
      </w:r>
    </w:p>
    <w:p>
      <w:pPr>
        <w:pStyle w:val="TextBody"/>
        <w:shd w:fill="FFFFFF" w:val="clear"/>
        <w:bidi w:val="0"/>
        <w:spacing w:before="0" w:after="0"/>
        <w:ind w:left="719" w:right="0" w:hanging="0"/>
        <w:jc w:val="both"/>
        <w:rPr>
          <w:caps w:val="false"/>
          <w:smallCaps w:val="false"/>
        </w:rPr>
      </w:pPr>
      <w:r>
        <w:rPr>
          <w:caps w:val="false"/>
          <w:smallCaps w:val="false"/>
        </w:rPr>
        <w:t> </w:t>
      </w:r>
    </w:p>
    <w:p>
      <w:pPr>
        <w:pStyle w:val="TextBody"/>
        <w:shd w:fill="FFFFFF" w:val="clear"/>
        <w:bidi w:val="0"/>
        <w:spacing w:before="0" w:after="0"/>
        <w:ind w:left="719" w:right="0" w:hanging="0"/>
        <w:jc w:val="both"/>
        <w:rPr>
          <w:caps w:val="false"/>
          <w:smallCaps w:val="false"/>
        </w:rPr>
      </w:pPr>
      <w:r>
        <w:rPr>
          <w:caps w:val="false"/>
          <w:smallCaps w:val="false"/>
        </w:rPr>
        <w:t> </w:t>
      </w:r>
      <w:bookmarkStart w:id="242" w:name="xdx_8B7_zbuO2ituGID1"/>
      <w:bookmarkEnd w:id="242"/>
      <w:r>
        <w:rPr>
          <w:rFonts w:ascii="Times New Roman;Times;Serif" w:hAnsi="Times New Roman;Times;Serif"/>
          <w:b w:val="false"/>
          <w:i w:val="false"/>
          <w:caps w:val="false"/>
          <w:smallCaps w:val="false"/>
          <w:sz w:val="20"/>
        </w:rPr>
        <w:t>SCHEDULE OF CHANGES IN FAIR VALUE OF MARKETABLE SECURITIES</w:t>
      </w:r>
    </w:p>
    <w:tbl>
      <w:tblPr>
        <w:tblW w:w="5624" w:type="dxa"/>
        <w:jc w:val="left"/>
        <w:tblInd w:w="0" w:type="dxa"/>
        <w:tblLayout w:type="fixed"/>
        <w:tblCellMar>
          <w:top w:w="0" w:type="dxa"/>
          <w:left w:w="0" w:type="dxa"/>
          <w:bottom w:w="0" w:type="dxa"/>
          <w:right w:w="0" w:type="dxa"/>
        </w:tblCellMar>
      </w:tblPr>
      <w:tblGrid>
        <w:gridCol w:w="3725"/>
        <w:gridCol w:w="60"/>
        <w:gridCol w:w="295"/>
        <w:gridCol w:w="1434"/>
        <w:gridCol w:w="110"/>
      </w:tblGrid>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43" w:name="xdx_497_20240101__20240331_zHGNPsEdNuNc"/>
            <w:bookmarkEnd w:id="243"/>
          </w:p>
        </w:tc>
        <w:tc>
          <w:tcPr>
            <w:tcW w:w="172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2024</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44" w:name="xdx_400_eus-gaap--MarketableSecuritiesCu"/>
            <w:bookmarkEnd w:id="244"/>
          </w:p>
        </w:tc>
      </w:tr>
      <w:tr>
        <w:trPr/>
        <w:tc>
          <w:tcPr>
            <w:tcW w:w="3725" w:type="dxa"/>
            <w:tcBorders/>
            <w:shd w:fill="CCEEFF" w:val="clear"/>
            <w:vAlign w:val="center"/>
          </w:tcPr>
          <w:p>
            <w:pPr>
              <w:pStyle w:val="TableContents"/>
              <w:bidi w:val="0"/>
              <w:spacing w:before="0" w:after="283"/>
              <w:jc w:val="left"/>
              <w:rPr/>
            </w:pPr>
            <w:r>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34" w:type="dxa"/>
            <w:tcBorders/>
            <w:shd w:fill="CCEEFF" w:val="clear"/>
            <w:vAlign w:val="center"/>
          </w:tcPr>
          <w:p>
            <w:pPr>
              <w:pStyle w:val="TableContents"/>
              <w:bidi w:val="0"/>
              <w:spacing w:before="0" w:after="283"/>
              <w:jc w:val="right"/>
              <w:rPr/>
            </w:pPr>
            <w:r>
              <w:rPr/>
              <w:t>29,383</w:t>
            </w:r>
          </w:p>
        </w:tc>
        <w:tc>
          <w:tcPr>
            <w:tcW w:w="110" w:type="dxa"/>
            <w:tcBorders/>
            <w:shd w:fill="CCEEFF" w:val="clear"/>
            <w:vAlign w:val="center"/>
          </w:tcPr>
          <w:p>
            <w:pPr>
              <w:pStyle w:val="TableContents"/>
              <w:bidi w:val="0"/>
              <w:spacing w:before="0" w:after="283"/>
              <w:jc w:val="left"/>
              <w:rPr/>
            </w:pPr>
            <w:r>
              <w:rPr/>
              <w:t> </w:t>
            </w:r>
            <w:bookmarkStart w:id="245" w:name="xdx_40E_eus-gaap--PaymentsToAcquireMarke"/>
            <w:bookmarkEnd w:id="245"/>
          </w:p>
        </w:tc>
      </w:tr>
      <w:tr>
        <w:trPr/>
        <w:tc>
          <w:tcPr>
            <w:tcW w:w="372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1,960</w:t>
            </w:r>
          </w:p>
        </w:tc>
        <w:tc>
          <w:tcPr>
            <w:tcW w:w="110" w:type="dxa"/>
            <w:tcBorders/>
            <w:shd w:fill="FFFFFF" w:val="clear"/>
            <w:vAlign w:val="center"/>
          </w:tcPr>
          <w:p>
            <w:pPr>
              <w:pStyle w:val="TableContents"/>
              <w:bidi w:val="0"/>
              <w:spacing w:before="0" w:after="283"/>
              <w:jc w:val="left"/>
              <w:rPr/>
            </w:pPr>
            <w:r>
              <w:rPr/>
              <w:t> </w:t>
            </w:r>
            <w:bookmarkStart w:id="246" w:name="xdx_40A_eus-gaap--ProceedsFromSaleAndMat"/>
            <w:bookmarkEnd w:id="246"/>
          </w:p>
        </w:tc>
      </w:tr>
      <w:tr>
        <w:trPr/>
        <w:tc>
          <w:tcPr>
            <w:tcW w:w="3725" w:type="dxa"/>
            <w:tcBorders/>
            <w:shd w:fill="CCEEFF" w:val="clear"/>
            <w:vAlign w:val="center"/>
          </w:tcPr>
          <w:p>
            <w:pPr>
              <w:pStyle w:val="TableContents"/>
              <w:bidi w:val="0"/>
              <w:spacing w:before="0" w:after="283"/>
              <w:jc w:val="left"/>
              <w:rPr/>
            </w:pPr>
            <w:r>
              <w:rPr/>
              <w:t>Maturity</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(7,000</w:t>
            </w:r>
          </w:p>
        </w:tc>
        <w:tc>
          <w:tcPr>
            <w:tcW w:w="110" w:type="dxa"/>
            <w:tcBorders/>
            <w:shd w:fill="CCEEFF" w:val="clear"/>
            <w:vAlign w:val="center"/>
          </w:tcPr>
          <w:p>
            <w:pPr>
              <w:pStyle w:val="TableContents"/>
              <w:bidi w:val="0"/>
              <w:spacing w:before="0" w:after="283"/>
              <w:jc w:val="left"/>
              <w:rPr/>
            </w:pPr>
            <w:r>
              <w:rPr/>
              <w:t>)</w:t>
            </w:r>
            <w:bookmarkStart w:id="247" w:name="xdx_404_eus-gaap--ProceedsFromInterestRe"/>
            <w:bookmarkEnd w:id="247"/>
          </w:p>
        </w:tc>
      </w:tr>
      <w:tr>
        <w:trPr/>
        <w:tc>
          <w:tcPr>
            <w:tcW w:w="3725"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(75</w:t>
            </w:r>
          </w:p>
        </w:tc>
        <w:tc>
          <w:tcPr>
            <w:tcW w:w="110" w:type="dxa"/>
            <w:tcBorders/>
            <w:shd w:fill="FFFFFF" w:val="clear"/>
            <w:vAlign w:val="center"/>
          </w:tcPr>
          <w:p>
            <w:pPr>
              <w:pStyle w:val="TableContents"/>
              <w:bidi w:val="0"/>
              <w:spacing w:before="0" w:after="283"/>
              <w:jc w:val="left"/>
              <w:rPr/>
            </w:pPr>
            <w:r>
              <w:rPr/>
              <w:t>)</w:t>
            </w:r>
            <w:bookmarkStart w:id="248" w:name="xdx_402_ecustom--ChangesInFairValueMarke"/>
            <w:bookmarkEnd w:id="248"/>
          </w:p>
        </w:tc>
      </w:tr>
      <w:tr>
        <w:trPr/>
        <w:tc>
          <w:tcPr>
            <w:tcW w:w="3725" w:type="dxa"/>
            <w:tcBorders/>
            <w:shd w:fill="CCEEFF" w:val="clear"/>
            <w:vAlign w:val="center"/>
          </w:tcPr>
          <w:p>
            <w:pPr>
              <w:pStyle w:val="TableContents"/>
              <w:bidi w:val="0"/>
              <w:spacing w:before="0" w:after="283"/>
              <w:jc w:val="left"/>
              <w:rPr/>
            </w:pPr>
            <w:r>
              <w:rPr/>
              <w:t>Changes in fair value during the period</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 </w:t>
            </w:r>
            <w:bookmarkStart w:id="249" w:name="xdx_402_eus-gaap--MarketableSecuritiesCu"/>
            <w:bookmarkEnd w:id="249"/>
          </w:p>
        </w:tc>
      </w:tr>
      <w:tr>
        <w:trPr/>
        <w:tc>
          <w:tcPr>
            <w:tcW w:w="3725" w:type="dxa"/>
            <w:tcBorders/>
            <w:shd w:fill="FFFFFF" w:val="clear"/>
            <w:vAlign w:val="center"/>
          </w:tcPr>
          <w:p>
            <w:pPr>
              <w:pStyle w:val="TableContents"/>
              <w:bidi w:val="0"/>
              <w:spacing w:before="0" w:after="283"/>
              <w:jc w:val="left"/>
              <w:rPr/>
            </w:pPr>
            <w:r>
              <w:rPr/>
              <w:t>Balance at end of the period</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double" w:sz="6" w:space="0" w:color="000000"/>
            </w:tcBorders>
            <w:shd w:fill="FFFFFF" w:val="clear"/>
            <w:tcMar>
              <w:bottom w:w="28" w:type="dxa"/>
            </w:tcMar>
            <w:vAlign w:val="center"/>
          </w:tcPr>
          <w:p>
            <w:pPr>
              <w:pStyle w:val="TableContents"/>
              <w:bidi w:val="0"/>
              <w:spacing w:before="0" w:after="283"/>
              <w:jc w:val="right"/>
              <w:rPr/>
            </w:pPr>
            <w:r>
              <w:rPr/>
              <w:t>24,561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50" w:name="xdx_8AD_zvXRvlA5gTyd"/>
      <w:bookmarkEnd w:id="25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1" w:name="xdx_800_eus-gaap--StockholdersEquityNote"/>
      <w:bookmarkEnd w:id="251"/>
      <w:r>
        <w:rPr>
          <w:rFonts w:ascii="Times New Roman;Times;Serif" w:hAnsi="Times New Roman;Times;Serif"/>
          <w:b/>
          <w:i w:val="false"/>
          <w:caps w:val="false"/>
          <w:smallCaps w:val="false"/>
          <w:sz w:val="20"/>
        </w:rPr>
        <w:t xml:space="preserve">NOTE 6 - </w:t>
      </w:r>
      <w:bookmarkStart w:id="252" w:name="xdx_82F_zzvhkVVx4uwk"/>
      <w:bookmarkEnd w:id="252"/>
      <w:r>
        <w:rPr>
          <w:rFonts w:ascii="Times New Roman;Times;Serif" w:hAnsi="Times New Roman;Times;Serif"/>
          <w:b/>
          <w:i w:val="false"/>
          <w:caps w:val="false"/>
          <w:smallCaps w:val="false"/>
          <w:sz w:val="20"/>
        </w:rPr>
        <w:t>EQUITY:</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p>
            <w:pPr>
              <w:pStyle w:val="TableContents"/>
              <w:bidi w:val="0"/>
              <w:spacing w:before="0" w:after="0"/>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2024, there were </w:t>
            </w:r>
            <w:bookmarkStart w:id="253" w:name="xdx_909_eus-gaap--PreferredStockSharesOu"/>
            <w:bookmarkEnd w:id="253"/>
            <w:r>
              <w:rPr>
                <w:rFonts w:ascii="Times New Roman;Times;Serif" w:hAnsi="Times New Roman;Times;Serif"/>
                <w:b w:val="false"/>
                <w:i w:val="false"/>
                <w:caps w:val="false"/>
                <w:smallCaps w:val="false"/>
                <w:sz w:val="20"/>
              </w:rPr>
              <w:t xml:space="preserve">1,718 shares of Series C preferred stock outstanding, convertible into an aggregate of </w:t>
            </w:r>
            <w:bookmarkStart w:id="254" w:name="xdx_90C_eus-gaap--PreferredStockConverti"/>
            <w:bookmarkEnd w:id="254"/>
            <w:r>
              <w:rPr>
                <w:rFonts w:ascii="Times New Roman;Times;Serif" w:hAnsi="Times New Roman;Times;Serif"/>
                <w:b w:val="false"/>
                <w:i w:val="false"/>
                <w:caps w:val="false"/>
                <w:smallCaps w:val="false"/>
                <w:sz w:val="20"/>
              </w:rPr>
              <w:t>7,952 shares of the Company’s common stock, with a total stated value of $</w:t>
            </w:r>
            <w:bookmarkStart w:id="255" w:name="xdx_902_eus-gaap--PreferredStockValue_iI"/>
            <w:bookmarkEnd w:id="255"/>
            <w:r>
              <w:rPr>
                <w:rFonts w:ascii="Times New Roman;Times;Serif" w:hAnsi="Times New Roman;Times;Serif"/>
                <w:b w:val="false"/>
                <w:i w:val="false"/>
                <w:caps w:val="false"/>
                <w:smallCaps w:val="false"/>
                <w:sz w:val="20"/>
              </w:rPr>
              <w:t>10,997.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2024, there are </w:t>
            </w:r>
            <w:bookmarkStart w:id="256" w:name="xdx_900_eus-gaap--ClassOfWarrantOrRightO"/>
            <w:bookmarkEnd w:id="256"/>
            <w:r>
              <w:rPr>
                <w:rFonts w:ascii="Times New Roman;Times;Serif" w:hAnsi="Times New Roman;Times;Serif"/>
                <w:b w:val="false"/>
                <w:i w:val="false"/>
                <w:caps w:val="false"/>
                <w:smallCaps w:val="false"/>
                <w:sz w:val="20"/>
              </w:rPr>
              <w:t>15,254,623 outstanding pre-funded warrants.</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2024, the Company has outstanding warrants to purchase an aggregate of </w:t>
            </w:r>
            <w:bookmarkStart w:id="257" w:name="xdx_901_eus-gaap--ClassOfWarrantOrRightN"/>
            <w:bookmarkEnd w:id="257"/>
            <w:r>
              <w:rPr>
                <w:rFonts w:ascii="Times New Roman;Times;Serif" w:hAnsi="Times New Roman;Times;Serif"/>
                <w:b w:val="false"/>
                <w:i w:val="false"/>
                <w:caps w:val="false"/>
                <w:smallCaps w:val="false"/>
                <w:sz w:val="20"/>
              </w:rPr>
              <w:t>53,396,008 shares of common stock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58" w:name="xdx_89C_eus-gaap--ScheduleOfStockholders"/>
      <w:bookmarkEnd w:id="258"/>
      <w:r>
        <w:rPr>
          <w:caps w:val="false"/>
          <w:smallCaps w:val="false"/>
        </w:rPr>
        <w:t> </w:t>
      </w:r>
      <w:bookmarkStart w:id="259" w:name="xdx_8B1_zNaykc9x47W7"/>
      <w:bookmarkEnd w:id="259"/>
      <w:r>
        <w:rPr>
          <w:rFonts w:ascii="Times New Roman;Times;Serif" w:hAnsi="Times New Roman;Times;Serif"/>
          <w:b w:val="false"/>
          <w:i w:val="false"/>
          <w:caps w:val="false"/>
          <w:smallCaps w:val="false"/>
          <w:sz w:val="20"/>
        </w:rPr>
        <w:t>SCHEDULE OF ISSUANCE OF WARRANTS TO PURCHASE COMMON STOCK</w:t>
      </w:r>
    </w:p>
    <w:tbl>
      <w:tblPr>
        <w:tblW w:w="5494" w:type="dxa"/>
        <w:jc w:val="left"/>
        <w:tblInd w:w="0" w:type="dxa"/>
        <w:tblLayout w:type="fixed"/>
        <w:tblCellMar>
          <w:top w:w="0" w:type="dxa"/>
          <w:left w:w="0" w:type="dxa"/>
          <w:bottom w:w="0" w:type="dxa"/>
          <w:right w:w="0" w:type="dxa"/>
        </w:tblCellMar>
      </w:tblPr>
      <w:tblGrid>
        <w:gridCol w:w="2105"/>
        <w:gridCol w:w="60"/>
        <w:gridCol w:w="113"/>
        <w:gridCol w:w="2081"/>
        <w:gridCol w:w="60"/>
        <w:gridCol w:w="60"/>
        <w:gridCol w:w="140"/>
        <w:gridCol w:w="800"/>
        <w:gridCol w:w="7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Number of underlying </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Exercise </w:t>
              <w:br/>
              <w:t>price</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Series E Warrants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bookmarkStart w:id="260" w:name="xdx_98C_eus-gaap--ClassOfWarrantOrRightN"/>
            <w:bookmarkEnd w:id="260"/>
          </w:p>
        </w:tc>
        <w:tc>
          <w:tcPr>
            <w:tcW w:w="2081" w:type="dxa"/>
            <w:tcBorders/>
            <w:shd w:fill="CCEEFF" w:val="clear"/>
            <w:vAlign w:val="center"/>
          </w:tcPr>
          <w:p>
            <w:pPr>
              <w:pStyle w:val="TableContents"/>
              <w:bidi w:val="0"/>
              <w:spacing w:before="0" w:after="283"/>
              <w:jc w:val="right"/>
              <w:rPr/>
            </w:pPr>
            <w:r>
              <w:rPr/>
              <w:t>198,159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61" w:name="xdx_98C_eus-gaap--ClassOfWarrantOrRightE"/>
            <w:bookmarkEnd w:id="261"/>
          </w:p>
        </w:tc>
        <w:tc>
          <w:tcPr>
            <w:tcW w:w="800" w:type="dxa"/>
            <w:tcBorders/>
            <w:shd w:fill="CCEEFF" w:val="clear"/>
            <w:vAlign w:val="center"/>
          </w:tcPr>
          <w:p>
            <w:pPr>
              <w:pStyle w:val="TableContents"/>
              <w:bidi w:val="0"/>
              <w:spacing w:before="0" w:after="283"/>
              <w:jc w:val="right"/>
              <w:rPr/>
            </w:pPr>
            <w:r>
              <w:rPr/>
              <w:t>27.0000</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Series F Warrants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bookmarkStart w:id="262" w:name="xdx_985_eus-gaap--ClassOfWarrantOrRightN"/>
            <w:bookmarkEnd w:id="262"/>
          </w:p>
        </w:tc>
        <w:tc>
          <w:tcPr>
            <w:tcW w:w="2081" w:type="dxa"/>
            <w:tcBorders/>
            <w:shd w:fill="FFFFFF" w:val="clear"/>
            <w:vAlign w:val="center"/>
          </w:tcPr>
          <w:p>
            <w:pPr>
              <w:pStyle w:val="TableContents"/>
              <w:bidi w:val="0"/>
              <w:spacing w:before="0" w:after="283"/>
              <w:jc w:val="right"/>
              <w:rPr/>
            </w:pPr>
            <w:r>
              <w:rPr/>
              <w:t>433,878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63" w:name="xdx_98A_eus-gaap--ClassOfWarrantOrRightE"/>
            <w:bookmarkEnd w:id="263"/>
          </w:p>
        </w:tc>
        <w:tc>
          <w:tcPr>
            <w:tcW w:w="800" w:type="dxa"/>
            <w:tcBorders/>
            <w:shd w:fill="FFFFFF" w:val="clear"/>
            <w:vAlign w:val="center"/>
          </w:tcPr>
          <w:p>
            <w:pPr>
              <w:pStyle w:val="TableContents"/>
              <w:bidi w:val="0"/>
              <w:spacing w:before="0" w:after="283"/>
              <w:jc w:val="right"/>
              <w:rPr/>
            </w:pPr>
            <w:r>
              <w:rPr/>
              <w:t>7.4250</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Series G Warrants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bookmarkStart w:id="264" w:name="xdx_988_eus-gaap--ClassOfWarrantOrRightN"/>
            <w:bookmarkEnd w:id="264"/>
          </w:p>
        </w:tc>
        <w:tc>
          <w:tcPr>
            <w:tcW w:w="2081" w:type="dxa"/>
            <w:tcBorders/>
            <w:shd w:fill="CCEEFF" w:val="clear"/>
            <w:vAlign w:val="center"/>
          </w:tcPr>
          <w:p>
            <w:pPr>
              <w:pStyle w:val="TableContents"/>
              <w:bidi w:val="0"/>
              <w:spacing w:before="0" w:after="283"/>
              <w:jc w:val="right"/>
              <w:rPr/>
            </w:pPr>
            <w:r>
              <w:rPr/>
              <w:t>1,092,344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65" w:name="xdx_988_eus-gaap--ClassOfWarrantOrRightE"/>
            <w:bookmarkEnd w:id="265"/>
          </w:p>
        </w:tc>
        <w:tc>
          <w:tcPr>
            <w:tcW w:w="800" w:type="dxa"/>
            <w:tcBorders/>
            <w:shd w:fill="CCEEFF" w:val="clear"/>
            <w:vAlign w:val="center"/>
          </w:tcPr>
          <w:p>
            <w:pPr>
              <w:pStyle w:val="TableContents"/>
              <w:bidi w:val="0"/>
              <w:spacing w:before="0" w:after="283"/>
              <w:jc w:val="right"/>
              <w:rPr/>
            </w:pPr>
            <w:r>
              <w:rPr/>
              <w:t>10.2300</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Series H Warrants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bookmarkStart w:id="266" w:name="xdx_985_eus-gaap--ClassOfWarrantOrRightN"/>
            <w:bookmarkEnd w:id="266"/>
          </w:p>
        </w:tc>
        <w:tc>
          <w:tcPr>
            <w:tcW w:w="2081" w:type="dxa"/>
            <w:tcBorders/>
            <w:shd w:fill="FFFFFF" w:val="clear"/>
            <w:vAlign w:val="center"/>
          </w:tcPr>
          <w:p>
            <w:pPr>
              <w:pStyle w:val="TableContents"/>
              <w:bidi w:val="0"/>
              <w:spacing w:before="0" w:after="283"/>
              <w:jc w:val="right"/>
              <w:rPr/>
            </w:pPr>
            <w:r>
              <w:rPr/>
              <w:t>12,914,086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67" w:name="xdx_983_eus-gaap--ClassOfWarrantOrRightE"/>
            <w:bookmarkEnd w:id="267"/>
          </w:p>
        </w:tc>
        <w:tc>
          <w:tcPr>
            <w:tcW w:w="800" w:type="dxa"/>
            <w:tcBorders/>
            <w:shd w:fill="FFFFFF" w:val="clear"/>
            <w:vAlign w:val="center"/>
          </w:tcPr>
          <w:p>
            <w:pPr>
              <w:pStyle w:val="TableContents"/>
              <w:bidi w:val="0"/>
              <w:spacing w:before="0" w:after="283"/>
              <w:jc w:val="right"/>
              <w:rPr/>
            </w:pPr>
            <w:r>
              <w:rPr/>
              <w:t>1.3827</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Series I Warrants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bookmarkStart w:id="268" w:name="xdx_981_eus-gaap--ClassOfWarrantOrRightN"/>
            <w:bookmarkEnd w:id="268"/>
          </w:p>
        </w:tc>
        <w:tc>
          <w:tcPr>
            <w:tcW w:w="2081" w:type="dxa"/>
            <w:tcBorders/>
            <w:shd w:fill="CCEEFF" w:val="clear"/>
            <w:vAlign w:val="center"/>
          </w:tcPr>
          <w:p>
            <w:pPr>
              <w:pStyle w:val="TableContents"/>
              <w:bidi w:val="0"/>
              <w:spacing w:before="0" w:after="283"/>
              <w:jc w:val="right"/>
              <w:rPr/>
            </w:pPr>
            <w:r>
              <w:rPr/>
              <w:t>12,914,078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69" w:name="xdx_98D_eus-gaap--ClassOfWarrantOrRightE"/>
            <w:bookmarkEnd w:id="269"/>
          </w:p>
        </w:tc>
        <w:tc>
          <w:tcPr>
            <w:tcW w:w="800" w:type="dxa"/>
            <w:tcBorders/>
            <w:shd w:fill="CCEEFF" w:val="clear"/>
            <w:vAlign w:val="center"/>
          </w:tcPr>
          <w:p>
            <w:pPr>
              <w:pStyle w:val="TableContents"/>
              <w:bidi w:val="0"/>
              <w:spacing w:before="0" w:after="283"/>
              <w:jc w:val="right"/>
              <w:rPr/>
            </w:pPr>
            <w:r>
              <w:rPr/>
              <w:t>1.3827</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Series J Warrants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bookmarkStart w:id="270" w:name="xdx_98B_eus-gaap--ClassOfWarrantOrRightN"/>
            <w:bookmarkEnd w:id="270"/>
          </w:p>
        </w:tc>
        <w:tc>
          <w:tcPr>
            <w:tcW w:w="2081" w:type="dxa"/>
            <w:tcBorders/>
            <w:shd w:fill="FFFFFF" w:val="clear"/>
            <w:vAlign w:val="center"/>
          </w:tcPr>
          <w:p>
            <w:pPr>
              <w:pStyle w:val="TableContents"/>
              <w:bidi w:val="0"/>
              <w:spacing w:before="0" w:after="283"/>
              <w:jc w:val="right"/>
              <w:rPr/>
            </w:pPr>
            <w:r>
              <w:rPr/>
              <w:t>12,914,086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71" w:name="xdx_984_eus-gaap--ClassOfWarrantOrRightE"/>
            <w:bookmarkEnd w:id="271"/>
          </w:p>
        </w:tc>
        <w:tc>
          <w:tcPr>
            <w:tcW w:w="800" w:type="dxa"/>
            <w:tcBorders/>
            <w:shd w:fill="FFFFFF" w:val="clear"/>
            <w:vAlign w:val="center"/>
          </w:tcPr>
          <w:p>
            <w:pPr>
              <w:pStyle w:val="TableContents"/>
              <w:bidi w:val="0"/>
              <w:spacing w:before="0" w:after="283"/>
              <w:jc w:val="right"/>
              <w:rPr/>
            </w:pPr>
            <w:r>
              <w:rPr/>
              <w:t>1.3827</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Series K Warrants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bookmarkStart w:id="272" w:name="xdx_98B_eus-gaap--ClassOfWarrantOrRightN"/>
            <w:bookmarkEnd w:id="272"/>
          </w:p>
        </w:tc>
        <w:tc>
          <w:tcPr>
            <w:tcW w:w="2081" w:type="dxa"/>
            <w:tcBorders/>
            <w:shd w:fill="CCEEFF" w:val="clear"/>
            <w:vAlign w:val="center"/>
          </w:tcPr>
          <w:p>
            <w:pPr>
              <w:pStyle w:val="TableContents"/>
              <w:bidi w:val="0"/>
              <w:spacing w:before="0" w:after="283"/>
              <w:jc w:val="right"/>
              <w:rPr/>
            </w:pPr>
            <w:r>
              <w:rPr/>
              <w:t>12,914,078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73" w:name="xdx_988_eus-gaap--ClassOfWarrantOrRightE"/>
            <w:bookmarkEnd w:id="273"/>
          </w:p>
        </w:tc>
        <w:tc>
          <w:tcPr>
            <w:tcW w:w="800" w:type="dxa"/>
            <w:tcBorders/>
            <w:shd w:fill="CCEEFF" w:val="clear"/>
            <w:vAlign w:val="center"/>
          </w:tcPr>
          <w:p>
            <w:pPr>
              <w:pStyle w:val="TableContents"/>
              <w:bidi w:val="0"/>
              <w:spacing w:before="0" w:after="283"/>
              <w:jc w:val="right"/>
              <w:rPr/>
            </w:pPr>
            <w:r>
              <w:rPr/>
              <w:t>1.3827</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Underwriter Warrants</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74" w:name="xdx_980_eus-gaap--ClassOfWarrantOrRightN"/>
            <w:bookmarkEnd w:id="274"/>
          </w:p>
        </w:tc>
        <w:tc>
          <w:tcPr>
            <w:tcW w:w="2081" w:type="dxa"/>
            <w:tcBorders>
              <w:bottom w:val="single" w:sz="12" w:space="0" w:color="000000"/>
            </w:tcBorders>
            <w:shd w:fill="FFFFFF" w:val="clear"/>
            <w:tcMar>
              <w:bottom w:w="28" w:type="dxa"/>
            </w:tcMar>
            <w:vAlign w:val="center"/>
          </w:tcPr>
          <w:p>
            <w:pPr>
              <w:pStyle w:val="TableContents"/>
              <w:bidi w:val="0"/>
              <w:spacing w:before="0" w:after="283"/>
              <w:jc w:val="right"/>
              <w:rPr/>
            </w:pPr>
            <w:r>
              <w:rPr/>
              <w:t>15,299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75" w:name="xdx_982_eus-gaap--ClassOfWarrantOrRightE"/>
            <w:bookmarkEnd w:id="275"/>
          </w:p>
        </w:tc>
        <w:tc>
          <w:tcPr>
            <w:tcW w:w="800" w:type="dxa"/>
            <w:tcBorders/>
            <w:shd w:fill="FFFFFF" w:val="clear"/>
            <w:vAlign w:val="center"/>
          </w:tcPr>
          <w:p>
            <w:pPr>
              <w:pStyle w:val="TableContents"/>
              <w:bidi w:val="0"/>
              <w:spacing w:before="0" w:after="283"/>
              <w:jc w:val="right"/>
              <w:rPr/>
            </w:pPr>
            <w:r>
              <w:rPr/>
              <w:t>7.4250</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Total Warrants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bookmarkStart w:id="276" w:name="xdx_988_eus-gaap--ClassOfWarrantOrRightN"/>
            <w:bookmarkEnd w:id="276"/>
          </w:p>
        </w:tc>
        <w:tc>
          <w:tcPr>
            <w:tcW w:w="2081" w:type="dxa"/>
            <w:tcBorders/>
            <w:shd w:fill="CCEEFF" w:val="clear"/>
            <w:vAlign w:val="center"/>
          </w:tcPr>
          <w:p>
            <w:pPr>
              <w:pStyle w:val="TableContents"/>
              <w:bidi w:val="0"/>
              <w:spacing w:before="0" w:after="283"/>
              <w:jc w:val="right"/>
              <w:rPr/>
            </w:pPr>
            <w:r>
              <w:rPr/>
              <w:t>53,396,008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2160" w:right="0" w:hanging="0"/>
        <w:jc w:val="both"/>
        <w:rPr>
          <w:caps w:val="false"/>
          <w:smallCaps w:val="false"/>
        </w:rPr>
      </w:pPr>
      <w:bookmarkStart w:id="277" w:name="xdx_8A2_zfugwa4hIMK6"/>
      <w:bookmarkEnd w:id="277"/>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2024, the Company had </w:t>
      </w:r>
      <w:bookmarkStart w:id="278" w:name="xdx_90E_eus-gaap--CapitalUnitsAuthorized"/>
      <w:bookmarkEnd w:id="278"/>
      <w:r>
        <w:rPr>
          <w:rFonts w:ascii="Times New Roman;Times;Serif" w:hAnsi="Times New Roman;Times;Serif"/>
          <w:b w:val="false"/>
          <w:i w:val="false"/>
          <w:caps w:val="false"/>
          <w:smallCaps w:val="false"/>
          <w:sz w:val="20"/>
        </w:rPr>
        <w:t>155,000,000 authorized shares of capital stock, par value $</w:t>
      </w:r>
      <w:bookmarkStart w:id="279" w:name="xdx_90A_ecustom--CapitalStockParOrStated"/>
      <w:bookmarkEnd w:id="279"/>
      <w:r>
        <w:rPr>
          <w:rFonts w:ascii="Times New Roman;Times;Serif" w:hAnsi="Times New Roman;Times;Serif"/>
          <w:b w:val="false"/>
          <w:i w:val="false"/>
          <w:caps w:val="false"/>
          <w:smallCaps w:val="false"/>
          <w:sz w:val="20"/>
        </w:rPr>
        <w:t xml:space="preserve">0.0001 per share, of which </w:t>
      </w:r>
      <w:bookmarkStart w:id="280" w:name="xdx_90E_eus-gaap--CommonStockSharesAutho"/>
      <w:bookmarkEnd w:id="280"/>
      <w:r>
        <w:rPr>
          <w:rFonts w:ascii="Times New Roman;Times;Serif" w:hAnsi="Times New Roman;Times;Serif"/>
          <w:b w:val="false"/>
          <w:i w:val="false"/>
          <w:caps w:val="false"/>
          <w:smallCaps w:val="false"/>
          <w:sz w:val="20"/>
        </w:rPr>
        <w:t xml:space="preserve">150,000,000 are shares of common stock and </w:t>
      </w:r>
      <w:bookmarkStart w:id="281" w:name="xdx_90F_eus-gaap--PreferredStockSharesAu"/>
      <w:bookmarkEnd w:id="281"/>
      <w:r>
        <w:rPr>
          <w:rFonts w:ascii="Times New Roman;Times;Serif" w:hAnsi="Times New Roman;Times;Serif"/>
          <w:b w:val="false"/>
          <w:i w:val="false"/>
          <w:caps w:val="false"/>
          <w:smallCaps w:val="false"/>
          <w:sz w:val="20"/>
        </w:rPr>
        <w:t>5,000,000 are shares of “blank check” preferred stock.</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p>
            <w:pPr>
              <w:pStyle w:val="TableContents"/>
              <w:bidi w:val="0"/>
              <w:spacing w:before="0" w:after="0"/>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the Company granted </w:t>
            </w:r>
            <w:bookmarkStart w:id="282" w:name="xdx_90C_eus-gaap--StockIssuedDuringPerio"/>
            <w:bookmarkEnd w:id="282"/>
            <w:r>
              <w:rPr>
                <w:rFonts w:ascii="Times New Roman;Times;Serif" w:hAnsi="Times New Roman;Times;Serif"/>
                <w:b w:val="false"/>
                <w:i w:val="false"/>
                <w:caps w:val="false"/>
                <w:smallCaps w:val="false"/>
                <w:sz w:val="20"/>
              </w:rPr>
              <w:t>1,634,403 restricted shares of the Company’s common stock to employees and directors. The shares to employees are subject to a three-year vesting period, with one-third of such awards vesting each year. The shares to directors are subject to a one-year vesting period.</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shares was approximately $</w:t>
            </w:r>
            <w:bookmarkStart w:id="283" w:name="xdx_90A_eus-gaap--StockIssuedDuringPerio"/>
            <w:bookmarkEnd w:id="283"/>
            <w:r>
              <w:rPr>
                <w:rFonts w:ascii="Times New Roman;Times;Serif" w:hAnsi="Times New Roman;Times;Serif"/>
                <w:b w:val="false"/>
                <w:i w:val="false"/>
                <w:caps w:val="false"/>
                <w:smallCaps w:val="false"/>
                <w:sz w:val="20"/>
              </w:rPr>
              <w:t>5.07 million.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the Company granted </w:t>
            </w:r>
            <w:bookmarkStart w:id="284" w:name="xdx_905_eus-gaap--StockIssuedDuringPerio"/>
            <w:bookmarkEnd w:id="284"/>
            <w:r>
              <w:rPr>
                <w:rFonts w:ascii="Times New Roman;Times;Serif" w:hAnsi="Times New Roman;Times;Serif"/>
                <w:b w:val="false"/>
                <w:i w:val="false"/>
                <w:caps w:val="false"/>
                <w:smallCaps w:val="false"/>
                <w:sz w:val="20"/>
              </w:rPr>
              <w:t>563,499 restricted share units of the Company’s common stock to the chief executive officer. The shares are subject to a three-year vesting period, with one-third of such awards vesting each year.</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share units was approximately $</w:t>
            </w:r>
            <w:bookmarkStart w:id="285" w:name="xdx_900_eus-gaap--StockIssuedDuringPerio"/>
            <w:bookmarkEnd w:id="285"/>
            <w:r>
              <w:rPr>
                <w:rFonts w:ascii="Times New Roman;Times;Serif" w:hAnsi="Times New Roman;Times;Serif"/>
                <w:b w:val="false"/>
                <w:i w:val="false"/>
                <w:caps w:val="false"/>
                <w:smallCaps w:val="false"/>
                <w:sz w:val="20"/>
              </w:rPr>
              <w:t>1.77 million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the Company granted to employees and directors options to purchase a total of </w:t>
            </w:r>
            <w:bookmarkStart w:id="286" w:name="xdx_900_eus-gaap--ShareBasedCompensation"/>
            <w:bookmarkEnd w:id="286"/>
            <w:r>
              <w:rPr>
                <w:rFonts w:ascii="Times New Roman;Times;Serif" w:hAnsi="Times New Roman;Times;Serif"/>
                <w:b w:val="false"/>
                <w:i w:val="false"/>
                <w:caps w:val="false"/>
                <w:smallCaps w:val="false"/>
                <w:sz w:val="20"/>
              </w:rPr>
              <w:t>715,614 shares of the Company’s common stock. The options have an exercise prices ranging from $</w:t>
            </w:r>
            <w:bookmarkStart w:id="287" w:name="xdx_906_eus-gaap--ShareBasedCompensation"/>
            <w:bookmarkEnd w:id="287"/>
            <w:r>
              <w:rPr>
                <w:rFonts w:ascii="Times New Roman;Times;Serif" w:hAnsi="Times New Roman;Times;Serif"/>
                <w:b w:val="false"/>
                <w:i w:val="false"/>
                <w:caps w:val="false"/>
                <w:smallCaps w:val="false"/>
                <w:sz w:val="20"/>
              </w:rPr>
              <w:t>2.71-$</w:t>
            </w:r>
            <w:bookmarkStart w:id="288" w:name="xdx_908_eus-gaap--ShareBasedCompensation"/>
            <w:bookmarkEnd w:id="288"/>
            <w:r>
              <w:rPr>
                <w:rFonts w:ascii="Times New Roman;Times;Serif" w:hAnsi="Times New Roman;Times;Serif"/>
                <w:b w:val="false"/>
                <w:i w:val="false"/>
                <w:caps w:val="false"/>
                <w:smallCaps w:val="false"/>
                <w:sz w:val="20"/>
              </w:rPr>
              <w:t>3.14 per share, which was the fair market value of the Company’s common stock on the respective dates of the grant. The options to employees are subject to a three-year vesting period, with one-third of such awards vesting each year. The options to directors are subject to a one-year vesting period.</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calculating the fair value of the above options, the Company used the following assumptions: dividend yield of </w:t>
            </w:r>
            <w:bookmarkStart w:id="289" w:name="xdx_90A_eus-gaap--ShareBasedCompensation"/>
            <w:bookmarkEnd w:id="289"/>
            <w:r>
              <w:rPr>
                <w:rFonts w:ascii="Times New Roman;Times;Serif" w:hAnsi="Times New Roman;Times;Serif"/>
                <w:b w:val="false"/>
                <w:i w:val="false"/>
                <w:caps w:val="false"/>
                <w:smallCaps w:val="false"/>
                <w:sz w:val="20"/>
              </w:rPr>
              <w:t xml:space="preserve">0% and expected term of </w:t>
            </w:r>
            <w:bookmarkStart w:id="290" w:name="xdx_90E_eus-gaap--SharebasedCompensation"/>
            <w:bookmarkEnd w:id="290"/>
            <w:r>
              <w:rPr>
                <w:rFonts w:ascii="Times New Roman;Times;Serif" w:hAnsi="Times New Roman;Times;Serif"/>
                <w:b w:val="false"/>
                <w:i w:val="false"/>
                <w:caps w:val="false"/>
                <w:smallCaps w:val="false"/>
                <w:sz w:val="20"/>
              </w:rPr>
              <w:t>5.5-</w:t>
            </w:r>
            <w:bookmarkStart w:id="291" w:name="xdx_90B_eus-gaap--SharebasedCompensation"/>
            <w:bookmarkEnd w:id="291"/>
            <w:r>
              <w:rPr>
                <w:rFonts w:ascii="Times New Roman;Times;Serif" w:hAnsi="Times New Roman;Times;Serif"/>
                <w:b w:val="false"/>
                <w:i w:val="false"/>
                <w:caps w:val="false"/>
                <w:smallCaps w:val="false"/>
                <w:sz w:val="20"/>
              </w:rPr>
              <w:t xml:space="preserve">6.5 years; expected volatility ranging from </w:t>
            </w:r>
            <w:bookmarkStart w:id="292" w:name="xdx_904_eus-gaap--ShareBasedCompensation"/>
            <w:bookmarkEnd w:id="292"/>
            <w:r>
              <w:rPr>
                <w:rFonts w:ascii="Times New Roman;Times;Serif" w:hAnsi="Times New Roman;Times;Serif"/>
                <w:b w:val="false"/>
                <w:i w:val="false"/>
                <w:caps w:val="false"/>
                <w:smallCaps w:val="false"/>
                <w:sz w:val="20"/>
              </w:rPr>
              <w:t>96.40%-</w:t>
            </w:r>
            <w:bookmarkStart w:id="293" w:name="xdx_904_eus-gaap--ShareBasedCompensation"/>
            <w:bookmarkEnd w:id="293"/>
            <w:r>
              <w:rPr>
                <w:rFonts w:ascii="Times New Roman;Times;Serif" w:hAnsi="Times New Roman;Times;Serif"/>
                <w:b w:val="false"/>
                <w:i w:val="false"/>
                <w:caps w:val="false"/>
                <w:smallCaps w:val="false"/>
                <w:sz w:val="20"/>
              </w:rPr>
              <w:t xml:space="preserve">119.38%; and risk-free interest rate ranging from </w:t>
            </w:r>
            <w:bookmarkStart w:id="294" w:name="xdx_905_eus-gaap--ShareBasedCompensation"/>
            <w:bookmarkEnd w:id="294"/>
            <w:r>
              <w:rPr>
                <w:rFonts w:ascii="Times New Roman;Times;Serif" w:hAnsi="Times New Roman;Times;Serif"/>
                <w:b w:val="false"/>
                <w:i w:val="false"/>
                <w:caps w:val="false"/>
                <w:smallCaps w:val="false"/>
                <w:sz w:val="20"/>
              </w:rPr>
              <w:t>3.93%-</w:t>
            </w:r>
            <w:bookmarkStart w:id="295" w:name="xdx_90F_eus-gaap--ShareBasedCompensation"/>
            <w:bookmarkEnd w:id="295"/>
            <w:r>
              <w:rPr>
                <w:rFonts w:ascii="Times New Roman;Times;Serif" w:hAnsi="Times New Roman;Times;Serif"/>
                <w:b w:val="false"/>
                <w:i w:val="false"/>
                <w:caps w:val="false"/>
                <w:smallCaps w:val="false"/>
                <w:sz w:val="20"/>
              </w:rPr>
              <w:t>4.10%.</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fair value of the above options, using the Black-Scholes option-pricing model, was approximately $</w:t>
            </w:r>
            <w:bookmarkStart w:id="296" w:name="xdx_906_eus-gaap--SharebasedCompensation"/>
            <w:bookmarkEnd w:id="296"/>
            <w:r>
              <w:rPr>
                <w:rFonts w:ascii="Times New Roman;Times;Serif" w:hAnsi="Times New Roman;Times;Serif"/>
                <w:b w:val="false"/>
                <w:i w:val="false"/>
                <w:caps w:val="false"/>
                <w:smallCaps w:val="false"/>
                <w:sz w:val="20"/>
                <w:shd w:fill="FFFFFF" w:val="clear"/>
              </w:rPr>
              <w:t>1.85 million.</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7" w:name="xdx_80D_eus-gaap--RelatedPartyTransactio"/>
      <w:bookmarkEnd w:id="297"/>
      <w:r>
        <w:rPr>
          <w:rFonts w:ascii="Times New Roman;Times;Serif" w:hAnsi="Times New Roman;Times;Serif"/>
          <w:b/>
          <w:i w:val="false"/>
          <w:caps w:val="false"/>
          <w:smallCaps w:val="false"/>
          <w:sz w:val="20"/>
        </w:rPr>
        <w:t xml:space="preserve">NOTE 7 – </w:t>
      </w:r>
      <w:bookmarkStart w:id="298" w:name="xdx_82B_zzvQSzkkAxm9"/>
      <w:bookmarkEnd w:id="298"/>
      <w:r>
        <w:rPr>
          <w:rFonts w:ascii="Times New Roman;Times;Serif" w:hAnsi="Times New Roman;Times;Serif"/>
          <w:b/>
          <w:i w:val="false"/>
          <w:caps w:val="false"/>
          <w:smallCaps w:val="false"/>
          <w:sz w:val="20"/>
        </w:rPr>
        <w:t>RELATED PARTIES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a member of the immediate family of the CEO provided certain administrative services in connection with the Company’s expansion to the U.S. in the amount of $</w:t>
      </w:r>
      <w:bookmarkStart w:id="299" w:name="xdx_908_eus-gaap--RelatedPartyTransactio"/>
      <w:bookmarkEnd w:id="299"/>
      <w:r>
        <w:rPr>
          <w:rFonts w:ascii="Times New Roman;Times;Serif" w:hAnsi="Times New Roman;Times;Serif"/>
          <w:b w:val="false"/>
          <w:i w:val="false"/>
          <w:caps w:val="false"/>
          <w:smallCaps w:val="false"/>
          <w:sz w:val="20"/>
        </w:rPr>
        <w:t>15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0" w:name="xdx_80A_eus-gaap--EarningsPerShareTextBl"/>
      <w:bookmarkEnd w:id="300"/>
      <w:r>
        <w:rPr>
          <w:rFonts w:ascii="Times New Roman;Times;Serif" w:hAnsi="Times New Roman;Times;Serif"/>
          <w:b/>
          <w:i w:val="false"/>
          <w:caps w:val="false"/>
          <w:smallCaps w:val="false"/>
          <w:sz w:val="20"/>
        </w:rPr>
        <w:t xml:space="preserve">NOTE 8 - </w:t>
      </w:r>
      <w:bookmarkStart w:id="301" w:name="xdx_827_z7kjLqrRZOui"/>
      <w:bookmarkEnd w:id="301"/>
      <w:r>
        <w:rPr>
          <w:rFonts w:ascii="Times New Roman;Times;Serif" w:hAnsi="Times New Roman;Times;Serif"/>
          <w:b/>
          <w:i w:val="false"/>
          <w:caps w:val="false"/>
          <w:smallCaps w:val="false"/>
          <w:sz w:val="20"/>
        </w:rPr>
        <w:t>NET LOSS PER SHARE:</w:t>
      </w:r>
    </w:p>
    <w:p>
      <w:pPr>
        <w:pStyle w:val="TextBody"/>
        <w:bidi w:val="0"/>
        <w:spacing w:before="0" w:after="0"/>
        <w:ind w:left="86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is computed by dividing the net loss for the period by the weighted average number of shares of common stock, pre-funded warrants and fully vested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calculating basic net loss per share, the additional shares of common stock that are issuable upon exercise of the pre-funded warrants have been included since the shares are issuable for a negligible consideration, as determined by the Company according to ASC 260-10-45-13, and have no vesting or other contingencies associated with them. For the three month period ended March 31, 2024, the Company had weighted average pre-funded warrants to purchase </w:t>
      </w:r>
      <w:bookmarkStart w:id="302" w:name="xdx_907_eus-gaap--WeightedAverageNumberD"/>
      <w:bookmarkEnd w:id="302"/>
      <w:r>
        <w:rPr>
          <w:rFonts w:ascii="Times New Roman;Times;Serif" w:hAnsi="Times New Roman;Times;Serif"/>
          <w:b w:val="false"/>
          <w:i w:val="false"/>
          <w:caps w:val="false"/>
          <w:smallCaps w:val="false"/>
          <w:sz w:val="20"/>
        </w:rPr>
        <w:t>15,254,623 share of common stock, which was used in the computation of net loss per share for the quarter.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number of shares of common stock related to outstanding options, warrants, unvested restricted stock, unvested restricted stock units and Series C preferred stock, which were excluded from the calculations of diluted loss per share were </w:t>
      </w:r>
      <w:bookmarkStart w:id="303" w:name="xdx_904_eus-gaap--AntidilutiveSecurities"/>
      <w:bookmarkEnd w:id="303"/>
      <w:r>
        <w:rPr>
          <w:rFonts w:ascii="Times New Roman;Times;Serif" w:hAnsi="Times New Roman;Times;Serif"/>
          <w:b w:val="false"/>
          <w:i w:val="false"/>
          <w:caps w:val="false"/>
          <w:smallCaps w:val="false"/>
          <w:sz w:val="20"/>
        </w:rPr>
        <w:t xml:space="preserve">62,556,668 and </w:t>
      </w:r>
      <w:bookmarkStart w:id="304" w:name="xdx_90D_eus-gaap--AntidilutiveSecurities"/>
      <w:bookmarkEnd w:id="304"/>
      <w:r>
        <w:rPr>
          <w:rFonts w:ascii="Times New Roman;Times;Serif" w:hAnsi="Times New Roman;Times;Serif"/>
          <w:b w:val="false"/>
          <w:i w:val="false"/>
          <w:caps w:val="false"/>
          <w:smallCaps w:val="false"/>
          <w:sz w:val="20"/>
        </w:rPr>
        <w:t xml:space="preserve">2,773,675 for the three month period ended March 31, 2024 and 2023. This amount includes </w:t>
      </w:r>
      <w:bookmarkStart w:id="305" w:name="xdx_904_eus-gaap--ShareBasedCompensation"/>
      <w:bookmarkEnd w:id="305"/>
      <w:r>
        <w:rPr>
          <w:rFonts w:ascii="Times New Roman;Times;Serif" w:hAnsi="Times New Roman;Times;Serif"/>
          <w:b w:val="false"/>
          <w:i w:val="false"/>
          <w:caps w:val="false"/>
          <w:smallCaps w:val="false"/>
          <w:sz w:val="20"/>
        </w:rPr>
        <w:t xml:space="preserve">4,611,500 and </w:t>
      </w:r>
      <w:bookmarkStart w:id="306" w:name="xdx_90D_eus-gaap--ShareBasedCompensation"/>
      <w:bookmarkEnd w:id="306"/>
      <w:r>
        <w:rPr>
          <w:rFonts w:ascii="Times New Roman;Times;Serif" w:hAnsi="Times New Roman;Times;Serif"/>
          <w:b w:val="false"/>
          <w:i w:val="false"/>
          <w:caps w:val="false"/>
          <w:smallCaps w:val="false"/>
          <w:sz w:val="20"/>
        </w:rPr>
        <w:t>342,766 of unvested restricted stock included in the number of issued and outstanding shares as of March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7" w:name="xdx_80A_eus-gaap--InventoryDisclosureTex"/>
      <w:bookmarkEnd w:id="307"/>
      <w:r>
        <w:rPr>
          <w:rFonts w:ascii="Times New Roman;Times;Serif" w:hAnsi="Times New Roman;Times;Serif"/>
          <w:b/>
          <w:i w:val="false"/>
          <w:caps w:val="false"/>
          <w:smallCaps w:val="false"/>
          <w:sz w:val="20"/>
        </w:rPr>
        <w:t xml:space="preserve">NOTE 9 - </w:t>
      </w:r>
      <w:bookmarkStart w:id="308" w:name="xdx_82F_za26ShLcvTia"/>
      <w:bookmarkEnd w:id="308"/>
      <w:r>
        <w:rPr>
          <w:rFonts w:ascii="Times New Roman;Times;Serif" w:hAnsi="Times New Roman;Times;Serif"/>
          <w:b/>
          <w:i w:val="false"/>
          <w:caps w:val="false"/>
          <w:smallCaps w:val="false"/>
          <w:sz w:val="20"/>
        </w:rPr>
        <w:t>INVENTORY:</w:t>
      </w:r>
    </w:p>
    <w:p>
      <w:pPr>
        <w:pStyle w:val="TextBody"/>
        <w:bidi w:val="0"/>
        <w:spacing w:before="0" w:after="0"/>
        <w:ind w:left="0" w:right="0" w:hanging="0"/>
        <w:jc w:val="left"/>
        <w:rPr>
          <w:caps w:val="false"/>
          <w:smallCaps w:val="false"/>
        </w:rPr>
      </w:pPr>
      <w:bookmarkStart w:id="309" w:name="xdx_89F_eus-gaap--ScheduleOfInventoryCur"/>
      <w:bookmarkEnd w:id="309"/>
      <w:r>
        <w:rPr>
          <w:caps w:val="false"/>
          <w:smallCaps w:val="false"/>
        </w:rPr>
        <w:t> </w:t>
      </w:r>
      <w:bookmarkStart w:id="310" w:name="xdx_8B2_zkmmA1snJVwi"/>
      <w:bookmarkEnd w:id="310"/>
      <w:r>
        <w:rPr>
          <w:rFonts w:ascii="Times New Roman;Times;Serif" w:hAnsi="Times New Roman;Times;Serif"/>
          <w:b w:val="false"/>
          <w:i w:val="false"/>
          <w:caps w:val="false"/>
          <w:smallCaps w:val="false"/>
          <w:sz w:val="20"/>
        </w:rPr>
        <w:t>SCHEDULE OF INVENTORIES</w:t>
      </w:r>
    </w:p>
    <w:tbl>
      <w:tblPr>
        <w:tblW w:w="5355" w:type="dxa"/>
        <w:jc w:val="left"/>
        <w:tblInd w:w="0" w:type="dxa"/>
        <w:tblLayout w:type="fixed"/>
        <w:tblCellMar>
          <w:top w:w="0" w:type="dxa"/>
          <w:left w:w="0" w:type="dxa"/>
          <w:bottom w:w="0" w:type="dxa"/>
          <w:right w:w="0" w:type="dxa"/>
        </w:tblCellMar>
      </w:tblPr>
      <w:tblGrid>
        <w:gridCol w:w="2615"/>
        <w:gridCol w:w="60"/>
        <w:gridCol w:w="214"/>
        <w:gridCol w:w="856"/>
        <w:gridCol w:w="60"/>
        <w:gridCol w:w="60"/>
        <w:gridCol w:w="283"/>
        <w:gridCol w:w="1132"/>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11" w:name="xdx_492_20240331_zoEmJpmnT6mj"/>
            <w:bookmarkEnd w:id="311"/>
          </w:p>
        </w:tc>
        <w:tc>
          <w:tcPr>
            <w:tcW w:w="1070" w:type="dxa"/>
            <w:gridSpan w:val="2"/>
            <w:tcBorders>
              <w:bottom w:val="single" w:sz="12" w:space="0" w:color="000000"/>
            </w:tcBorders>
            <w:tcMar>
              <w:bottom w:w="28" w:type="dxa"/>
            </w:tcMar>
            <w:vAlign w:val="center"/>
          </w:tcPr>
          <w:p>
            <w:pPr>
              <w:pStyle w:val="TableContents"/>
              <w:bidi w:val="0"/>
              <w:jc w:val="center"/>
              <w:rPr>
                <w:b/>
              </w:rPr>
            </w:pPr>
            <w:r>
              <w:rPr>
                <w:b/>
              </w:rPr>
              <w:t>March 31,</w:t>
            </w:r>
          </w:p>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 w:name="xdx_490_20231231_zASid0HMgZz9"/>
            <w:bookmarkEnd w:id="312"/>
          </w:p>
        </w:tc>
        <w:tc>
          <w:tcPr>
            <w:tcW w:w="1415"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313" w:name="xdx_403_eus-gaap--InventoryFinishedGoods"/>
            <w:bookmarkEnd w:id="313"/>
          </w:p>
        </w:tc>
      </w:tr>
      <w:tr>
        <w:trPr/>
        <w:tc>
          <w:tcPr>
            <w:tcW w:w="261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210</w:t>
            </w:r>
          </w:p>
        </w:tc>
        <w:tc>
          <w:tcPr>
            <w:tcW w:w="75" w:type="dxa"/>
            <w:tcBorders/>
            <w:shd w:fill="CCEEFF" w:val="clear"/>
            <w:vAlign w:val="center"/>
          </w:tcPr>
          <w:p>
            <w:pPr>
              <w:pStyle w:val="TableContents"/>
              <w:bidi w:val="0"/>
              <w:spacing w:before="0" w:after="283"/>
              <w:jc w:val="left"/>
              <w:rPr/>
            </w:pPr>
            <w:r>
              <w:rPr/>
              <w:t> </w:t>
            </w:r>
            <w:bookmarkStart w:id="314" w:name="xdx_40D_eus-gaap--InventoryWorkInProcess"/>
            <w:bookmarkEnd w:id="314"/>
          </w:p>
        </w:tc>
      </w:tr>
      <w:tr>
        <w:trPr/>
        <w:tc>
          <w:tcPr>
            <w:tcW w:w="2615"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562</w:t>
            </w:r>
          </w:p>
        </w:tc>
        <w:tc>
          <w:tcPr>
            <w:tcW w:w="75" w:type="dxa"/>
            <w:tcBorders/>
            <w:shd w:fill="FFFFFF" w:val="clear"/>
            <w:vAlign w:val="center"/>
          </w:tcPr>
          <w:p>
            <w:pPr>
              <w:pStyle w:val="TableContents"/>
              <w:bidi w:val="0"/>
              <w:spacing w:before="0" w:after="283"/>
              <w:jc w:val="left"/>
              <w:rPr/>
            </w:pPr>
            <w:r>
              <w:rPr/>
              <w:t> </w:t>
            </w:r>
            <w:bookmarkStart w:id="315" w:name="xdx_40A_eus-gaap--InventoryRawMaterialsA"/>
            <w:bookmarkEnd w:id="315"/>
          </w:p>
        </w:tc>
      </w:tr>
      <w:tr>
        <w:trPr/>
        <w:tc>
          <w:tcPr>
            <w:tcW w:w="2615" w:type="dxa"/>
            <w:tcBorders/>
            <w:shd w:fill="CCEEFF" w:val="clear"/>
            <w:vAlign w:val="center"/>
          </w:tcPr>
          <w:p>
            <w:pPr>
              <w:pStyle w:val="TableContents"/>
              <w:bidi w:val="0"/>
              <w:spacing w:before="0" w:after="283"/>
              <w:jc w:val="left"/>
              <w:rPr/>
            </w:pPr>
            <w:r>
              <w:rPr/>
              <w:t>Raw materials and supplies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283"/>
              <w:jc w:val="right"/>
              <w:rPr/>
            </w:pPr>
            <w:r>
              <w:rPr/>
              <w:t>1,370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1,334</w:t>
            </w:r>
          </w:p>
        </w:tc>
        <w:tc>
          <w:tcPr>
            <w:tcW w:w="75" w:type="dxa"/>
            <w:tcBorders/>
            <w:shd w:fill="CCEEFF" w:val="clear"/>
            <w:vAlign w:val="center"/>
          </w:tcPr>
          <w:p>
            <w:pPr>
              <w:pStyle w:val="TableContents"/>
              <w:bidi w:val="0"/>
              <w:spacing w:before="0" w:after="283"/>
              <w:jc w:val="left"/>
              <w:rPr/>
            </w:pPr>
            <w:r>
              <w:rPr/>
              <w:t> </w:t>
            </w:r>
            <w:bookmarkStart w:id="316" w:name="xdx_406_eus-gaap--InventoryNet_iTI_pn3n3"/>
            <w:bookmarkEnd w:id="316"/>
          </w:p>
        </w:tc>
      </w:tr>
      <w:tr>
        <w:trPr/>
        <w:tc>
          <w:tcPr>
            <w:tcW w:w="26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r>
              <w:rPr/>
              <w:t>2,360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2,106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17" w:name="xdx_8A9_zYxJWbL0o456"/>
      <w:bookmarkEnd w:id="31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8" w:name="xdx_800_eus-gaap--AccountsPayableAndAccr"/>
      <w:bookmarkEnd w:id="318"/>
      <w:r>
        <w:rPr>
          <w:rFonts w:ascii="Times New Roman;Times;Serif" w:hAnsi="Times New Roman;Times;Serif"/>
          <w:b/>
          <w:i w:val="false"/>
          <w:caps w:val="false"/>
          <w:smallCaps w:val="false"/>
          <w:sz w:val="20"/>
        </w:rPr>
        <w:t xml:space="preserve">NOTE 10 - </w:t>
      </w:r>
      <w:bookmarkStart w:id="319" w:name="xdx_829_zS0uroSHX4K1"/>
      <w:bookmarkEnd w:id="319"/>
      <w:r>
        <w:rPr>
          <w:rFonts w:ascii="Times New Roman;Times;Serif" w:hAnsi="Times New Roman;Times;Serif"/>
          <w:b/>
          <w:i w:val="false"/>
          <w:caps w:val="false"/>
          <w:smallCaps w:val="false"/>
          <w:sz w:val="20"/>
        </w:rPr>
        <w:t>ACCOUNTS PAYABLE AND ACCRUALS - OTHER:</w:t>
      </w:r>
    </w:p>
    <w:p>
      <w:pPr>
        <w:pStyle w:val="TextBody"/>
        <w:bidi w:val="0"/>
        <w:spacing w:before="0" w:after="0"/>
        <w:ind w:left="0" w:right="0" w:hanging="0"/>
        <w:jc w:val="left"/>
        <w:rPr>
          <w:caps w:val="false"/>
          <w:smallCaps w:val="false"/>
        </w:rPr>
      </w:pPr>
      <w:bookmarkStart w:id="320" w:name="xdx_89B_eus-gaap--ScheduleOfAccountsPaya"/>
      <w:bookmarkEnd w:id="320"/>
      <w:r>
        <w:rPr>
          <w:caps w:val="false"/>
          <w:smallCaps w:val="false"/>
        </w:rPr>
        <w:t> </w:t>
      </w:r>
      <w:bookmarkStart w:id="321" w:name="xdx_8B3_zUlImvVgzanb"/>
      <w:bookmarkEnd w:id="321"/>
      <w:r>
        <w:rPr>
          <w:rFonts w:ascii="Times New Roman;Times;Serif" w:hAnsi="Times New Roman;Times;Serif"/>
          <w:b w:val="false"/>
          <w:i w:val="false"/>
          <w:caps w:val="false"/>
          <w:smallCaps w:val="false"/>
          <w:sz w:val="20"/>
        </w:rPr>
        <w:t>SCHEDULE OF ACCOUNTS PAYABLE AND ACCRUALS - OTHER</w:t>
      </w:r>
    </w:p>
    <w:tbl>
      <w:tblPr>
        <w:tblW w:w="6285" w:type="dxa"/>
        <w:jc w:val="left"/>
        <w:tblInd w:w="0" w:type="dxa"/>
        <w:tblLayout w:type="fixed"/>
        <w:tblCellMar>
          <w:top w:w="0" w:type="dxa"/>
          <w:left w:w="0" w:type="dxa"/>
          <w:bottom w:w="0" w:type="dxa"/>
          <w:right w:w="0" w:type="dxa"/>
        </w:tblCellMar>
      </w:tblPr>
      <w:tblGrid>
        <w:gridCol w:w="3545"/>
        <w:gridCol w:w="60"/>
        <w:gridCol w:w="214"/>
        <w:gridCol w:w="856"/>
        <w:gridCol w:w="60"/>
        <w:gridCol w:w="60"/>
        <w:gridCol w:w="283"/>
        <w:gridCol w:w="1132"/>
        <w:gridCol w:w="75"/>
      </w:tblGrid>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2" w:name="xdx_496_20240331_zLIDH9oBsW1h"/>
            <w:bookmarkEnd w:id="322"/>
          </w:p>
        </w:tc>
        <w:tc>
          <w:tcPr>
            <w:tcW w:w="1070" w:type="dxa"/>
            <w:gridSpan w:val="2"/>
            <w:tcBorders>
              <w:bottom w:val="single" w:sz="12" w:space="0" w:color="000000"/>
            </w:tcBorders>
            <w:tcMar>
              <w:bottom w:w="28" w:type="dxa"/>
            </w:tcMar>
            <w:vAlign w:val="center"/>
          </w:tcPr>
          <w:p>
            <w:pPr>
              <w:pStyle w:val="TableContents"/>
              <w:bidi w:val="0"/>
              <w:jc w:val="center"/>
              <w:rPr>
                <w:b/>
              </w:rPr>
            </w:pPr>
            <w:r>
              <w:rPr>
                <w:b/>
              </w:rPr>
              <w:t>March 31,</w:t>
            </w:r>
          </w:p>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3" w:name="xdx_49A_20231231_zb00Yr9aKEle"/>
            <w:bookmarkEnd w:id="323"/>
          </w:p>
        </w:tc>
        <w:tc>
          <w:tcPr>
            <w:tcW w:w="1415"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324" w:name="xdx_40F_eus-gaap--AccruedSalariesCurrent"/>
            <w:bookmarkEnd w:id="324"/>
          </w:p>
        </w:tc>
      </w:tr>
      <w:tr>
        <w:trPr/>
        <w:tc>
          <w:tcPr>
            <w:tcW w:w="3545" w:type="dxa"/>
            <w:tcBorders/>
            <w:shd w:fill="CCEEFF" w:val="clear"/>
            <w:vAlign w:val="center"/>
          </w:tcPr>
          <w:p>
            <w:pPr>
              <w:pStyle w:val="TableContents"/>
              <w:bidi w:val="0"/>
              <w:spacing w:before="0" w:after="283"/>
              <w:jc w:val="left"/>
              <w:rPr/>
            </w:pPr>
            <w:r>
              <w:rPr/>
              <w:t>Employees and employee institutions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2,188</w:t>
            </w:r>
          </w:p>
        </w:tc>
        <w:tc>
          <w:tcPr>
            <w:tcW w:w="75" w:type="dxa"/>
            <w:tcBorders/>
            <w:shd w:fill="CCEEFF" w:val="clear"/>
            <w:vAlign w:val="center"/>
          </w:tcPr>
          <w:p>
            <w:pPr>
              <w:pStyle w:val="TableContents"/>
              <w:bidi w:val="0"/>
              <w:spacing w:before="0" w:after="283"/>
              <w:jc w:val="left"/>
              <w:rPr/>
            </w:pPr>
            <w:r>
              <w:rPr/>
              <w:t> </w:t>
            </w:r>
            <w:bookmarkStart w:id="325" w:name="xdx_40C_eus-gaap--AccruedVacationCurrent"/>
            <w:bookmarkEnd w:id="325"/>
          </w:p>
        </w:tc>
      </w:tr>
      <w:tr>
        <w:trPr/>
        <w:tc>
          <w:tcPr>
            <w:tcW w:w="3545" w:type="dxa"/>
            <w:tcBorders/>
            <w:shd w:fill="FFFFFF" w:val="clear"/>
            <w:vAlign w:val="center"/>
          </w:tcPr>
          <w:p>
            <w:pPr>
              <w:pStyle w:val="TableContents"/>
              <w:bidi w:val="0"/>
              <w:spacing w:before="0" w:after="283"/>
              <w:jc w:val="left"/>
              <w:rPr/>
            </w:pPr>
            <w:r>
              <w:rPr/>
              <w:t>Accrued vacation and recreation pay</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287</w:t>
            </w:r>
          </w:p>
        </w:tc>
        <w:tc>
          <w:tcPr>
            <w:tcW w:w="75" w:type="dxa"/>
            <w:tcBorders/>
            <w:shd w:fill="FFFFFF" w:val="clear"/>
            <w:vAlign w:val="center"/>
          </w:tcPr>
          <w:p>
            <w:pPr>
              <w:pStyle w:val="TableContents"/>
              <w:bidi w:val="0"/>
              <w:spacing w:before="0" w:after="283"/>
              <w:jc w:val="left"/>
              <w:rPr/>
            </w:pPr>
            <w:r>
              <w:rPr/>
              <w:t> </w:t>
            </w:r>
            <w:bookmarkStart w:id="326" w:name="xdx_402_eus-gaap--AccruedLiabilitiesCurr"/>
            <w:bookmarkEnd w:id="326"/>
          </w:p>
        </w:tc>
      </w:tr>
      <w:tr>
        <w:trPr/>
        <w:tc>
          <w:tcPr>
            <w:tcW w:w="354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1,115</w:t>
            </w:r>
          </w:p>
        </w:tc>
        <w:tc>
          <w:tcPr>
            <w:tcW w:w="75" w:type="dxa"/>
            <w:tcBorders/>
            <w:shd w:fill="CCEEFF" w:val="clear"/>
            <w:vAlign w:val="center"/>
          </w:tcPr>
          <w:p>
            <w:pPr>
              <w:pStyle w:val="TableContents"/>
              <w:bidi w:val="0"/>
              <w:spacing w:before="0" w:after="283"/>
              <w:jc w:val="left"/>
              <w:rPr/>
            </w:pPr>
            <w:r>
              <w:rPr/>
              <w:t> </w:t>
            </w:r>
            <w:bookmarkStart w:id="327" w:name="xdx_406_ecustom--ClinicalTrialAccrualCur"/>
            <w:bookmarkEnd w:id="327"/>
          </w:p>
        </w:tc>
      </w:tr>
      <w:tr>
        <w:trPr/>
        <w:tc>
          <w:tcPr>
            <w:tcW w:w="3545" w:type="dxa"/>
            <w:tcBorders/>
            <w:shd w:fill="FFFFFF" w:val="clear"/>
            <w:vAlign w:val="center"/>
          </w:tcPr>
          <w:p>
            <w:pPr>
              <w:pStyle w:val="TableContents"/>
              <w:bidi w:val="0"/>
              <w:spacing w:before="0" w:after="283"/>
              <w:jc w:val="left"/>
              <w:rPr/>
            </w:pPr>
            <w:r>
              <w:rPr/>
              <w:t>Clinical trial accrual</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744</w:t>
            </w:r>
          </w:p>
        </w:tc>
        <w:tc>
          <w:tcPr>
            <w:tcW w:w="75" w:type="dxa"/>
            <w:tcBorders/>
            <w:shd w:fill="FFFFFF" w:val="clear"/>
            <w:vAlign w:val="center"/>
          </w:tcPr>
          <w:p>
            <w:pPr>
              <w:pStyle w:val="TableContents"/>
              <w:bidi w:val="0"/>
              <w:spacing w:before="0" w:after="283"/>
              <w:jc w:val="left"/>
              <w:rPr/>
            </w:pPr>
            <w:r>
              <w:rPr/>
              <w:t> </w:t>
            </w:r>
            <w:bookmarkStart w:id="328" w:name="xdx_409_ecustom--AccruedOperatingLeaseLi"/>
            <w:bookmarkEnd w:id="328"/>
          </w:p>
        </w:tc>
      </w:tr>
      <w:tr>
        <w:trPr/>
        <w:tc>
          <w:tcPr>
            <w:tcW w:w="3545" w:type="dxa"/>
            <w:tcBorders/>
            <w:shd w:fill="CCEEFF" w:val="clear"/>
            <w:vAlign w:val="center"/>
          </w:tcPr>
          <w:p>
            <w:pPr>
              <w:pStyle w:val="TableContents"/>
              <w:bidi w:val="0"/>
              <w:spacing w:before="0" w:after="283"/>
              <w:jc w:val="left"/>
              <w:rPr/>
            </w:pPr>
            <w:r>
              <w:rPr/>
              <w:t>Current Operating lease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557</w:t>
            </w:r>
          </w:p>
        </w:tc>
        <w:tc>
          <w:tcPr>
            <w:tcW w:w="75" w:type="dxa"/>
            <w:tcBorders/>
            <w:shd w:fill="CCEEFF" w:val="clear"/>
            <w:vAlign w:val="center"/>
          </w:tcPr>
          <w:p>
            <w:pPr>
              <w:pStyle w:val="TableContents"/>
              <w:bidi w:val="0"/>
              <w:spacing w:before="0" w:after="283"/>
              <w:jc w:val="left"/>
              <w:rPr/>
            </w:pPr>
            <w:r>
              <w:rPr/>
              <w:t> </w:t>
            </w:r>
            <w:bookmarkStart w:id="329" w:name="xdx_406_eus-gaap--OtherAccruedLiabilitie"/>
            <w:bookmarkEnd w:id="329"/>
          </w:p>
        </w:tc>
      </w:tr>
      <w:tr>
        <w:trPr/>
        <w:tc>
          <w:tcPr>
            <w:tcW w:w="354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FFFFFF" w:val="clear"/>
            <w:tcMar>
              <w:bottom w:w="28" w:type="dxa"/>
            </w:tcMar>
            <w:vAlign w:val="center"/>
          </w:tcPr>
          <w:p>
            <w:pPr>
              <w:pStyle w:val="TableContents"/>
              <w:bidi w:val="0"/>
              <w:spacing w:before="0" w:after="283"/>
              <w:jc w:val="right"/>
              <w:rPr/>
            </w:pPr>
            <w:r>
              <w:rPr/>
              <w:t>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190</w:t>
            </w:r>
          </w:p>
        </w:tc>
        <w:tc>
          <w:tcPr>
            <w:tcW w:w="75" w:type="dxa"/>
            <w:tcBorders/>
            <w:shd w:fill="FFFFFF" w:val="clear"/>
            <w:vAlign w:val="center"/>
          </w:tcPr>
          <w:p>
            <w:pPr>
              <w:pStyle w:val="TableContents"/>
              <w:bidi w:val="0"/>
              <w:spacing w:before="0" w:after="283"/>
              <w:jc w:val="left"/>
              <w:rPr/>
            </w:pPr>
            <w:r>
              <w:rPr/>
              <w:t> </w:t>
            </w:r>
            <w:bookmarkStart w:id="330" w:name="xdx_40D_eus-gaap--AccountsPayableOtherCu"/>
            <w:bookmarkEnd w:id="330"/>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Accruals - Other</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4,218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5,081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31" w:name="xdx_8A4_zLnA0Wrw9XOb"/>
      <w:bookmarkEnd w:id="33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32" w:name="xdx_802_eus-gaap--SegmentReportingDisclo"/>
      <w:bookmarkEnd w:id="332"/>
      <w:r>
        <w:rPr>
          <w:rFonts w:ascii="Times New Roman;Times;Serif" w:hAnsi="Times New Roman;Times;Serif"/>
          <w:b/>
          <w:i w:val="false"/>
          <w:caps w:val="false"/>
          <w:smallCaps w:val="false"/>
          <w:sz w:val="20"/>
        </w:rPr>
        <w:t xml:space="preserve">NOTE 11 - </w:t>
      </w:r>
      <w:bookmarkStart w:id="333" w:name="xdx_82F_zffTXuAnS8Xj"/>
      <w:bookmarkEnd w:id="333"/>
      <w:r>
        <w:rPr>
          <w:rFonts w:ascii="Times New Roman;Times;Serif" w:hAnsi="Times New Roman;Times;Serif"/>
          <w:b/>
          <w:i w:val="false"/>
          <w:caps w:val="false"/>
          <w:smallCaps w:val="false"/>
          <w:sz w:val="20"/>
        </w:rPr>
        <w:t>DISAGGREGATED REVENUE AND ENTITY WIDE DISCLOSURES</w:t>
      </w:r>
      <w:r>
        <w:rPr>
          <w:rFonts w:ascii="Times New Roman;Times;Serif" w:hAnsi="Times New Roman;Times;Serif"/>
          <w:b w:val="false"/>
          <w:i w:val="false"/>
          <w:caps w:val="false"/>
          <w:smallCaps w:val="false"/>
          <w:sz w:val="20"/>
        </w:rPr>
        <w:t>:</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34" w:name="xdx_89F_eus-gaap--ScheduleOfRevenueFromE"/>
      <w:bookmarkEnd w:id="334"/>
      <w:r>
        <w:rPr>
          <w:rFonts w:ascii="Times New Roman;Times;Serif" w:hAnsi="Times New Roman;Times;Serif"/>
          <w:b w:val="false"/>
          <w:i w:val="false"/>
          <w:caps w:val="false"/>
          <w:smallCaps w:val="false"/>
          <w:sz w:val="20"/>
        </w:rPr>
        <w:t>Revenues are attributed to geographic areas based on the location of the customers. The following is a summary of revenues:</w:t>
      </w:r>
    </w:p>
    <w:p>
      <w:pPr>
        <w:pStyle w:val="TextBody"/>
        <w:bidi w:val="0"/>
        <w:spacing w:before="0" w:after="0"/>
        <w:ind w:left="1134" w:right="0" w:hanging="0"/>
        <w:jc w:val="both"/>
        <w:rPr>
          <w:caps w:val="false"/>
          <w:smallCaps w:val="false"/>
        </w:rPr>
      </w:pPr>
      <w:r>
        <w:rPr>
          <w:caps w:val="false"/>
          <w:smallCaps w:val="false"/>
        </w:rPr>
        <w:t> </w:t>
      </w:r>
      <w:bookmarkStart w:id="335" w:name="xdx_8BD_zL3Rn6BcqLI2"/>
      <w:bookmarkEnd w:id="335"/>
      <w:r>
        <w:rPr>
          <w:rFonts w:ascii="Times New Roman;Times;Serif" w:hAnsi="Times New Roman;Times;Serif"/>
          <w:b w:val="false"/>
          <w:i w:val="false"/>
          <w:caps w:val="false"/>
          <w:smallCaps w:val="false"/>
          <w:sz w:val="20"/>
        </w:rPr>
        <w:t>SCHEDULE OF REVENUES ATTRIBUTED TO GEOGRAPHIC AREAS</w:t>
      </w:r>
    </w:p>
    <w:tbl>
      <w:tblPr>
        <w:tblW w:w="3173" w:type="dxa"/>
        <w:jc w:val="left"/>
        <w:tblInd w:w="0" w:type="dxa"/>
        <w:tblLayout w:type="fixed"/>
        <w:tblCellMar>
          <w:top w:w="0" w:type="dxa"/>
          <w:left w:w="0" w:type="dxa"/>
          <w:bottom w:w="0" w:type="dxa"/>
          <w:right w:w="0" w:type="dxa"/>
        </w:tblCellMar>
      </w:tblPr>
      <w:tblGrid>
        <w:gridCol w:w="920"/>
        <w:gridCol w:w="60"/>
        <w:gridCol w:w="195"/>
        <w:gridCol w:w="781"/>
        <w:gridCol w:w="83"/>
        <w:gridCol w:w="83"/>
        <w:gridCol w:w="195"/>
        <w:gridCol w:w="781"/>
        <w:gridCol w:w="75"/>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Italy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336" w:name="xdx_983_eus-gaap--RevenueFromContractWit"/>
            <w:bookmarkEnd w:id="336"/>
          </w:p>
        </w:tc>
        <w:tc>
          <w:tcPr>
            <w:tcW w:w="781" w:type="dxa"/>
            <w:tcBorders/>
            <w:shd w:fill="CCEEFF" w:val="clear"/>
            <w:vAlign w:val="center"/>
          </w:tcPr>
          <w:p>
            <w:pPr>
              <w:pStyle w:val="TableContents"/>
              <w:bidi w:val="0"/>
              <w:spacing w:before="0" w:after="283"/>
              <w:jc w:val="right"/>
              <w:rPr/>
            </w:pPr>
            <w:r>
              <w:rPr/>
              <w:t>295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337" w:name="xdx_985_eus-gaap--RevenueFromContractWit"/>
            <w:bookmarkEnd w:id="337"/>
          </w:p>
        </w:tc>
        <w:tc>
          <w:tcPr>
            <w:tcW w:w="781" w:type="dxa"/>
            <w:tcBorders/>
            <w:shd w:fill="CCEEFF" w:val="clear"/>
            <w:vAlign w:val="center"/>
          </w:tcPr>
          <w:p>
            <w:pPr>
              <w:pStyle w:val="TableContents"/>
              <w:bidi w:val="0"/>
              <w:spacing w:before="0" w:after="283"/>
              <w:jc w:val="right"/>
              <w:rPr/>
            </w:pPr>
            <w:r>
              <w:rPr/>
              <w:t>267</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Germany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338" w:name="xdx_98A_eus-gaap--RevenueFromContractWit"/>
            <w:bookmarkEnd w:id="338"/>
          </w:p>
        </w:tc>
        <w:tc>
          <w:tcPr>
            <w:tcW w:w="781" w:type="dxa"/>
            <w:tcBorders/>
            <w:shd w:fill="FFFFFF" w:val="clear"/>
            <w:vAlign w:val="center"/>
          </w:tcPr>
          <w:p>
            <w:pPr>
              <w:pStyle w:val="TableContents"/>
              <w:bidi w:val="0"/>
              <w:spacing w:before="0" w:after="283"/>
              <w:jc w:val="right"/>
              <w:rPr/>
            </w:pPr>
            <w:r>
              <w:rPr/>
              <w:t>242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339" w:name="xdx_985_eus-gaap--RevenueFromContractWit"/>
            <w:bookmarkEnd w:id="339"/>
          </w:p>
        </w:tc>
        <w:tc>
          <w:tcPr>
            <w:tcW w:w="781" w:type="dxa"/>
            <w:tcBorders/>
            <w:shd w:fill="FFFFFF" w:val="clear"/>
            <w:vAlign w:val="center"/>
          </w:tcPr>
          <w:p>
            <w:pPr>
              <w:pStyle w:val="TableContents"/>
              <w:bidi w:val="0"/>
              <w:spacing w:before="0" w:after="283"/>
              <w:jc w:val="right"/>
              <w:rPr/>
            </w:pPr>
            <w:r>
              <w:rPr/>
              <w:t>214</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Poland</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340" w:name="xdx_984_eus-gaap--RevenueFromContractWit"/>
            <w:bookmarkEnd w:id="340"/>
          </w:p>
        </w:tc>
        <w:tc>
          <w:tcPr>
            <w:tcW w:w="781" w:type="dxa"/>
            <w:tcBorders/>
            <w:shd w:fill="CCEEFF" w:val="clear"/>
            <w:vAlign w:val="center"/>
          </w:tcPr>
          <w:p>
            <w:pPr>
              <w:pStyle w:val="TableContents"/>
              <w:bidi w:val="0"/>
              <w:spacing w:before="0" w:after="283"/>
              <w:jc w:val="right"/>
              <w:rPr/>
            </w:pPr>
            <w:r>
              <w:rPr/>
              <w:t>152</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341" w:name="xdx_989_eus-gaap--RevenueFromContractWit"/>
            <w:bookmarkEnd w:id="341"/>
          </w:p>
        </w:tc>
        <w:tc>
          <w:tcPr>
            <w:tcW w:w="781" w:type="dxa"/>
            <w:tcBorders/>
            <w:shd w:fill="CCEEFF" w:val="clear"/>
            <w:vAlign w:val="center"/>
          </w:tcPr>
          <w:p>
            <w:pPr>
              <w:pStyle w:val="TableContents"/>
              <w:bidi w:val="0"/>
              <w:spacing w:before="0" w:after="283"/>
              <w:jc w:val="right"/>
              <w:rPr/>
            </w:pPr>
            <w:r>
              <w:rPr/>
              <w:t>119</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2" w:name="xdx_988_eus-gaap--RevenueFromContractWit"/>
            <w:bookmarkEnd w:id="342"/>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822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3" w:name="xdx_980_eus-gaap--RevenueFromContractWit"/>
            <w:bookmarkEnd w:id="343"/>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639</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4" w:name="xdx_987_eus-gaap--RevenueFromContractWit"/>
            <w:bookmarkEnd w:id="344"/>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pPr>
            <w:r>
              <w:rPr/>
              <w:t>1,511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5" w:name="xdx_987_eus-gaap--RevenueFromContractWit"/>
            <w:bookmarkEnd w:id="345"/>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pPr>
            <w:r>
              <w:rPr/>
              <w:t>1,239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0"/>
        <w:jc w:val="both"/>
        <w:rPr>
          <w:caps w:val="false"/>
          <w:smallCaps w:val="false"/>
        </w:rPr>
      </w:pPr>
      <w:bookmarkStart w:id="346" w:name="xdx_8A8_zZTL2trDXQuc"/>
      <w:bookmarkEnd w:id="346"/>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47" w:name="xdx_89B_eus-gaap--ScheduleOfRevenueByMaj"/>
      <w:bookmarkEnd w:id="347"/>
      <w:r>
        <w:rPr>
          <w:rFonts w:ascii="Times New Roman;Times;Serif" w:hAnsi="Times New Roman;Times;Serif"/>
          <w:b w:val="false"/>
          <w:i w:val="false"/>
          <w:caps w:val="false"/>
          <w:smallCaps w:val="false"/>
          <w:sz w:val="20"/>
        </w:rPr>
        <w:t>By principal customers:</w:t>
      </w:r>
    </w:p>
    <w:p>
      <w:pPr>
        <w:pStyle w:val="TextBody"/>
        <w:bidi w:val="0"/>
        <w:spacing w:before="0" w:after="0"/>
        <w:ind w:left="1134" w:right="0" w:hanging="0"/>
        <w:jc w:val="both"/>
        <w:rPr>
          <w:caps w:val="false"/>
          <w:smallCaps w:val="false"/>
        </w:rPr>
      </w:pPr>
      <w:r>
        <w:rPr>
          <w:caps w:val="false"/>
          <w:smallCaps w:val="false"/>
        </w:rPr>
        <w:t> </w:t>
      </w:r>
      <w:bookmarkStart w:id="348" w:name="xdx_8B8_z5R1g0UQIOje"/>
      <w:bookmarkEnd w:id="348"/>
      <w:r>
        <w:rPr>
          <w:rFonts w:ascii="Times New Roman;Times;Serif" w:hAnsi="Times New Roman;Times;Serif"/>
          <w:b w:val="false"/>
          <w:i w:val="false"/>
          <w:caps w:val="false"/>
          <w:smallCaps w:val="false"/>
          <w:sz w:val="20"/>
        </w:rPr>
        <w:t>SCHEDULE OF REVENUES ATTRIBUTED TO GEOGRAPHIC AREAS BY PRINCIPAL CUSTOMERS</w:t>
      </w:r>
    </w:p>
    <w:tbl>
      <w:tblPr>
        <w:tblW w:w="3599" w:type="dxa"/>
        <w:jc w:val="left"/>
        <w:tblInd w:w="0" w:type="dxa"/>
        <w:tblLayout w:type="fixed"/>
        <w:tblCellMar>
          <w:top w:w="0" w:type="dxa"/>
          <w:left w:w="0" w:type="dxa"/>
          <w:bottom w:w="0" w:type="dxa"/>
          <w:right w:w="0" w:type="dxa"/>
        </w:tblCellMar>
      </w:tblPr>
      <w:tblGrid>
        <w:gridCol w:w="1190"/>
        <w:gridCol w:w="60"/>
        <w:gridCol w:w="139"/>
        <w:gridCol w:w="602"/>
        <w:gridCol w:w="498"/>
        <w:gridCol w:w="139"/>
        <w:gridCol w:w="139"/>
        <w:gridCol w:w="602"/>
        <w:gridCol w:w="23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6"/>
            <w:tcBorders>
              <w:bottom w:val="single" w:sz="12"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March 31</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98"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bookmarkStart w:id="349" w:name="xdx_98C_eus-gaap--ConcentrationRiskPerce"/>
            <w:bookmarkEnd w:id="349"/>
          </w:p>
        </w:tc>
        <w:tc>
          <w:tcPr>
            <w:tcW w:w="602" w:type="dxa"/>
            <w:tcBorders/>
            <w:shd w:fill="CCEEFF" w:val="clear"/>
            <w:vAlign w:val="center"/>
          </w:tcPr>
          <w:p>
            <w:pPr>
              <w:pStyle w:val="TableContents"/>
              <w:bidi w:val="0"/>
              <w:spacing w:before="0" w:after="283"/>
              <w:jc w:val="right"/>
              <w:rPr/>
            </w:pPr>
            <w:r>
              <w:rPr/>
              <w:t>16</w:t>
            </w:r>
          </w:p>
        </w:tc>
        <w:tc>
          <w:tcPr>
            <w:tcW w:w="498" w:type="dxa"/>
            <w:tcBorders/>
            <w:shd w:fill="CCEEFF" w:val="clear"/>
            <w:vAlign w:val="center"/>
          </w:tcPr>
          <w:p>
            <w:pPr>
              <w:pStyle w:val="TableContents"/>
              <w:bidi w:val="0"/>
              <w:spacing w:before="0" w:after="283"/>
              <w:jc w:val="lef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bookmarkStart w:id="350" w:name="xdx_982_eus-gaap--ConcentrationRiskPerce"/>
            <w:bookmarkEnd w:id="350"/>
          </w:p>
        </w:tc>
        <w:tc>
          <w:tcPr>
            <w:tcW w:w="602"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r>
        <w:trPr/>
        <w:tc>
          <w:tcPr>
            <w:tcW w:w="119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bookmarkStart w:id="351" w:name="xdx_985_eus-gaap--ConcentrationRiskPerce"/>
            <w:bookmarkEnd w:id="351"/>
          </w:p>
        </w:tc>
        <w:tc>
          <w:tcPr>
            <w:tcW w:w="602" w:type="dxa"/>
            <w:tcBorders/>
            <w:shd w:fill="FFFFFF" w:val="clear"/>
            <w:vAlign w:val="center"/>
          </w:tcPr>
          <w:p>
            <w:pPr>
              <w:pStyle w:val="TableContents"/>
              <w:bidi w:val="0"/>
              <w:spacing w:before="0" w:after="283"/>
              <w:jc w:val="right"/>
              <w:rPr/>
            </w:pPr>
            <w:r>
              <w:rPr/>
              <w:t>12</w:t>
            </w:r>
          </w:p>
        </w:tc>
        <w:tc>
          <w:tcPr>
            <w:tcW w:w="498" w:type="dxa"/>
            <w:tcBorders/>
            <w:shd w:fill="FFFFFF" w:val="clear"/>
            <w:vAlign w:val="center"/>
          </w:tcPr>
          <w:p>
            <w:pPr>
              <w:pStyle w:val="TableContents"/>
              <w:bidi w:val="0"/>
              <w:spacing w:before="0" w:after="283"/>
              <w:jc w:val="left"/>
              <w:rPr/>
            </w:pPr>
            <w:r>
              <w:rPr/>
              <w:t>%</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bookmarkStart w:id="352" w:name="xdx_984_eus-gaap--ConcentrationRiskPerce"/>
            <w:bookmarkEnd w:id="352"/>
          </w:p>
        </w:tc>
        <w:tc>
          <w:tcPr>
            <w:tcW w:w="602" w:type="dxa"/>
            <w:tcBorders/>
            <w:shd w:fill="FFFFFF" w:val="clear"/>
            <w:vAlign w:val="center"/>
          </w:tcPr>
          <w:p>
            <w:pPr>
              <w:pStyle w:val="TableContents"/>
              <w:bidi w:val="0"/>
              <w:spacing w:before="0" w:after="283"/>
              <w:jc w:val="right"/>
              <w:rPr/>
            </w:pPr>
            <w:r>
              <w:rPr/>
              <w:t>13</w:t>
            </w:r>
          </w:p>
        </w:tc>
        <w:tc>
          <w:tcPr>
            <w:tcW w:w="230" w:type="dxa"/>
            <w:tcBorders/>
            <w:shd w:fill="FFFFFF" w:val="clear"/>
            <w:vAlign w:val="center"/>
          </w:tcPr>
          <w:p>
            <w:pPr>
              <w:pStyle w:val="TableContents"/>
              <w:bidi w:val="0"/>
              <w:spacing w:before="0" w:after="283"/>
              <w:jc w:val="left"/>
              <w:rPr/>
            </w:pPr>
            <w:r>
              <w:rPr/>
              <w:t>%</w:t>
            </w:r>
          </w:p>
        </w:tc>
      </w:tr>
      <w:tr>
        <w:trPr/>
        <w:tc>
          <w:tcPr>
            <w:tcW w:w="119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bookmarkStart w:id="353" w:name="xdx_986_eus-gaap--ConcentrationRiskPerce"/>
            <w:bookmarkEnd w:id="353"/>
          </w:p>
        </w:tc>
        <w:tc>
          <w:tcPr>
            <w:tcW w:w="602" w:type="dxa"/>
            <w:tcBorders/>
            <w:shd w:fill="CCEEFF" w:val="clear"/>
            <w:vAlign w:val="center"/>
          </w:tcPr>
          <w:p>
            <w:pPr>
              <w:pStyle w:val="TableContents"/>
              <w:bidi w:val="0"/>
              <w:spacing w:before="0" w:after="283"/>
              <w:jc w:val="right"/>
              <w:rPr/>
            </w:pPr>
            <w:r>
              <w:rPr/>
              <w:t>10</w:t>
            </w:r>
          </w:p>
        </w:tc>
        <w:tc>
          <w:tcPr>
            <w:tcW w:w="498" w:type="dxa"/>
            <w:tcBorders/>
            <w:shd w:fill="CCEEFF" w:val="clear"/>
            <w:vAlign w:val="center"/>
          </w:tcPr>
          <w:p>
            <w:pPr>
              <w:pStyle w:val="TableContents"/>
              <w:bidi w:val="0"/>
              <w:spacing w:before="0" w:after="283"/>
              <w:jc w:val="lef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bookmarkStart w:id="354" w:name="xdx_981_eus-gaap--ConcentrationRiskPerce"/>
            <w:bookmarkEnd w:id="354"/>
          </w:p>
        </w:tc>
        <w:tc>
          <w:tcPr>
            <w:tcW w:w="602"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440" w:right="0" w:hanging="1440"/>
        <w:jc w:val="left"/>
        <w:rPr>
          <w:caps w:val="false"/>
          <w:smallCaps w:val="false"/>
        </w:rPr>
      </w:pPr>
      <w:bookmarkStart w:id="355" w:name="xdx_8A8_zVikmM84MH29"/>
      <w:bookmarkEnd w:id="355"/>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tangible long lived assets are located in Israel.</w:t>
      </w:r>
    </w:p>
    <w:p>
      <w:pPr>
        <w:pStyle w:val="TextBody"/>
        <w:bidi w:val="0"/>
        <w:spacing w:before="0" w:after="0"/>
        <w:ind w:left="1134" w:right="0" w:hanging="0"/>
        <w:jc w:val="both"/>
        <w:rPr>
          <w:caps w:val="false"/>
          <w:smallCaps w:val="false"/>
        </w:rPr>
      </w:pPr>
      <w:bookmarkStart w:id="356" w:name="xdx_810_zNsc4Y5Vc8Mb"/>
      <w:bookmarkEnd w:id="35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7" w:name="Z_002"/>
      <w:bookmarkEnd w:id="357"/>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accompanying condensed consolidated financial statements and related notes included elsewhere in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this Form 10-Q to the “Company,” “InspireMD,” “we,” “our” and “us” refer to InspireMD, Inc., a Delaware corporation,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which include information relating to future events, future financial performance, strategies, expectations, competitive environment and regulation, including revenue growth.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may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recurring losses and negative cash flows from operating activities, significant future commitments and the uncertainty regarding the adequacy of our liquidity to pursue our complete business objectives;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raise additional capital to meet our business requirements in the future and such capital raising may be costly or difficult to obtain and could dilute out stockholders’ ownership interests;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secure and maintain regulatory approvals for the sale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clinical trial results or lengthy product delays in key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Nasdaq listing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revenues from our products and obtain and maintain regulatory approvals for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protect our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single manufacturing facility and our ability to comply with stringent manufacturing quality standards and to increase production as necessary;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data collected from our current and planned clinical trials may not be sufficient to demonstrate that our technology is an attractive alternative to other procedures and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in our industry, with competitors having substantially greater financial, technological, research and development, regulatory and clinical, manufacturing, marketing and sales, distribution and personnel resources than we do;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of new competitors and products and potential technological obsolescence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carry out research, development and commercialization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key customer or supplier;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problems with our research and products and potential product liability claims;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malfunctions;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increases for supplies and components;</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or inadequate reimbursement by governmental and other third-party payers for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successfully obtain and maintain intellectual property protection covering our products,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federal, state and local government regulation, in the United States, Europe or Israel and other foreign jurisdictions;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political and economic instability in the Middle East that could harm our business, including due to the current war between Israel and Hamas;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future unfavorable economic and market conditions and adverse developments with respect to financial institutions and associated liquidity risk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For a discussion of these and other risks that relate to our business and investing in our common stock, you should carefully review the risks and uncertainties described in this Quarterly Report on Form 10-Q, and those described from time to time in our future reports filed with the Securities and Exchange Commission. The forward-looking statements contained in this Quarterly Report on Form 10-Q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medical device company focusing on the development and commercialization of our proprietary MicroNet™ stent platform for the treatment of carotid artery disease and other vascular disease. A stent is an expandable “scaffold-like” device, usually constructed of a metallic material, that is inserted into the lumen of the artery to create patency and revascularization of blood flow. MicroNet, a micron mesh sleeve, is attached over a stent to provide embolic protection both during and after stenting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CGuard™ carotid embolic prevention system (“CGuard EPS”) combines MicroNet and a unique self-expandable nitinol stent in a single device for use in carotid artery revascularization. Our CGuard EPS originally received CE mark approval under Medical Device Directive 93/42/EEC (“MDD”) in the European Union (“EU”) in March 2013 and was fully launched in Europe in September 2015. Subsequently, we launched CGuard EPS in over 30 countries and on February 3, 2021, we executed a distribution agreement with Chinese partners for the purpose of expanding our presence in the Asian markets. In January 2024, we received CE mark recertification under the EU’s Medical Device Regulation regulatory framework. Currently, we are seeking strategic partners for a potential launch of CGuard EPS in Japan and other Asian countries.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2020, we received approval from the U.S. Food and Drug Administration (“FDA”) of our Investigation Device Exemption (“IDE”), thereby allowing us to proceed with a pivotal study of our CGuard™ Carotid Stent System, C-GUARDIANS, for prevention of stroke in patients in the United States. C-GUARDIANS is a prospective, multicenter, single-arm, pivotal study to evaluate the safety and efficacy of the CGuard™ Carotid Stent System when used to treat symptomatic and asymptomatic carotid artery stenosis in patients undergoing carotid artery stenting (“CAS”). The study, which completed enrollment in June 2023, enrolled 316 patients across 24 trial sites in the U.S. and Europe and from April 2023 included deployment of the CGuard stent using CGuard Prime, our next generation CAS stent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is a composite of: (1) incidence of major adverse events including Death (all-cause mortality), any Stroke, and Myocardial Infarction (DSMI) through 30-days post index procedure, or (2) ipsilateral stroke from day 31 to day 365 post-procedure. All events are adjudicated by an independent clinical events committee. The composite index will be compared to a performance goal based on the observed rate of the two components of the primary endpoint from previous pivotal stent trials which are considered industry standard. The performance goal will be considered met if the upper bound of the two-sided 95% confidence interval calculated from the observed primary endpoint rate is &lt; 11.6% and the p-value is less than 0.025.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announced positive 30-day follow up results from the C-GUARDIANS trial in which stenting with the CGuard Carotid Stent System in patients with carotid artery stenosis and at high risk for carotid endarterectomy had a DSMI rate of 0.95%, measured from the date of the procedure through 30 days follow-up post-procedure. We anticipate reporting primary endpoint results from the C-GUARDIANS trial at the end of May 2024 that may support the submission of a premarket approval, or PMA, application in the third quarter of 2024 with a view to potential FDA approval of the CGuard Prime stent system in the first half of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invest in current and future potential new indications, products and manufacturing enhancements for CGuard that are expected to reduce cost of goods and/or provide the best-in-class performing delivery systems, such as CGuard Prime. In furtherance of our strategy that focuses on establishing the CGuard Carotid Stent System as a viable alternative to vascular surgery, we are developing a new transcarotid artery revascularization (TCAR) system, SwitchGuard™ neuroprotection system (“SwitchGuard NPS”), for transcarotid access and neuro protection. In addition, we intend to explore new indications for CGuard to leverage the advantages of stent design and mesh protection, well suited in labels such as acute stroke with tandem lesions.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current addressable market for our CGuard Carotid Stent System and SwitchGuard NPS to be both symptomatic and asymptomatic individuals with diagnosed high-grade carotid artery stenosis for whom intervention is preferable to medical (drug) therapy. This group includes not only carotid artery stenting patients but also individuals undergoing carotid endarterectomy, as the two approaches compete for the same patient population. Assuming full penetration of the intervention caseload by CGuard, we estimate that the addressable market for CGuard Carotid Stent System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Carotid Stent System and SwitchGuard NPS to be approximately $9.3 billion, which may grow over time if expanded treatment options such as CGuard Carotid Stent System and SwitchGuard NPS lead to increased patient screening for carotid artery disease.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Centers for Medicare and Medicaid Service (“CMS”) issued its final National Coverage Determination (“NCD”), expanding coverage of CAS to include both asymptomatic and standard risk patients, significantly expanding the U.S. CAS addressable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offer a comprehensive set of delivery solutions (TCAR and Transfemoral) in order to deliver best in class results through patient outcomes by way of stent performance with CGuard Carotid Stent System and SwitchGuard NPS.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organized in the State of Delaware on February 29, 2008.</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addition, since the commencement of these events, there have been continued hostilities along Israel’s northern border with Lebanon (with the Hezbollah terror organization) and southern border (with the Houthi movement in Yemen). It is possible that hostilities with Hezbollah in Lebanon will escalate, and that other terrorist organizations, including Palestinian military organizations in the West Bank as well as other hostile countries will join the hostilities. </w:t>
      </w:r>
      <w:r>
        <w:rPr>
          <w:rFonts w:ascii="Times New Roman;Times;Serif" w:hAnsi="Times New Roman;Times;Serif"/>
          <w:b w:val="false"/>
          <w:i w:val="false"/>
          <w:caps w:val="false"/>
          <w:smallCaps w:val="false"/>
          <w:sz w:val="20"/>
          <w:shd w:fill="FFFFFF" w:val="clear"/>
        </w:rPr>
        <w:t xml:space="preserve">In addition, Iran recently launched a direct attack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w:t>
      </w:r>
      <w:r>
        <w:rPr>
          <w:rFonts w:ascii="Times New Roman;Times;Serif" w:hAnsi="Times New Roman;Times;Serif"/>
          <w:b w:val="false"/>
          <w:i w:val="false"/>
          <w:caps w:val="false"/>
          <w:smallCaps w:val="false"/>
          <w:sz w:val="20"/>
        </w:rPr>
        <w:t>Such clashes may escalate in the future into a greater regional conflict. We cannot currently predict the intensity or duration of Israel’s war against Hamas, nor can we predict how this war will ultimately affect our business and operations or Israel’s economy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Our critical accounting policies are more fully described in both (i) “Item 7. Management’s Discussion and Analysis of Financial Condition and Results of Operations” and (ii) Note 2 of the Notes to the Consolidated Financial Statements included in the Annual Report on Form 10-K for the year ended December 31, 2023. There have not been any material changes to such critical accounting policies since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the primary economic environment in which our operations are conducted is the U.S. dollar (“$” or “dollar”).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March 31, 2024, compared to the three months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For the three months ended March 31, 2024, revenue increased by $272,000, or 22.0%, to $1,511,000, from $1,239,000 during the three months ended March 31, 2023. This increase was predominantly driven by growth in existing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geographical regions, the increase in revenue was primarily attributable to a $169,000 increase in Europe, a $115,000 increase in Latin America, $50,000 increase in Asia and a $10,000 increase in other geographies, for reasons mentioned in the paragraph above. This increase was offset by a $59,000 decrease in the United States as we completed in June 2023 the enrollment of all patients in our C-Guardians IDE clinical trial and accordingly there were no further enrollments in the three months ended March 31, 2024 and a $13,000 decrease in other territories.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For the three months ended March 31, 2024, gross profit (revenue less cost of revenues) decreased by $81,000, or 21.6%, to $292,000, from $373,000 during the three months ended March 31, 2023. This decrease in gross profit resulted from a $85,000 increase in training costs for new hires to build capacity for anticipated increased volume requirements, offset by $4,000 in miscellaneous expenses. Gross margin (gross profits as a percentage of revenue) decreased to 19.4% during the three months ended March 31, 2024, from 30.1% during the three months ended March 31, 2023, driven by the factors mentioned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For the three months ended March 31, 2024, research and development expenses increased by $782,000, or 42.4%, to $2,625,000, from $1,843,000 during the three months ended March 31, 2023. This increase resulted primarily from an increase in compensation expenses of $567,000, mainly due to an increase of share-based compensation-related expenses due to the expense recognition of grants made during the second quarter of 2023 and the first quarter of 2024 and due to the hiring of the Executive Vice President and General Manager of North America in connection with our expansion plans in the United States, an increase of $159,000 related to an early feasibility study of CGuard Prime for the treatment of acute stroke patients with tandem lesions and an increase of $56,000 in miscellaneous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For the three months ended March 31, 2024, selling and marketing expenses increased by $449,000, or 57.0%, to $1,237,000, from $788,000 during the three months ended March 31, 2023. This increase resulted primarily from an increase in compensation expenses of $381,000, mainly due to an increase of share-based compensation-related expenses due to the expense recognition of grants made during the second quarter of 2023 and the first quarter of 2024 and an increase of $68,000 in miscellaneous expenses.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For the three months ended March 31, 2024, general and administrative expenses increased by $1,721,000, or 81.1%, to $3,844,000, from $2,123,000 during the three months ended March 31, 2023. This increase resulted primarily from an increase in compensation expenses of $1,682,000, mainly due to an increase of share-based compensation-related expenses due to the expense recognition of grants made during the second quarter of 2023 and the first quarter of 2024, and an increase of $39,000 in miscellaneous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w:t>
      </w:r>
      <w:r>
        <w:rPr>
          <w:rFonts w:ascii="Times New Roman;Times;Serif" w:hAnsi="Times New Roman;Times;Serif"/>
          <w:b w:val="false"/>
          <w:i w:val="false"/>
          <w:caps w:val="false"/>
          <w:smallCaps w:val="false"/>
          <w:sz w:val="20"/>
        </w:rPr>
        <w:t>. For the three months ended March 31, 2024, financial income increased by $257,000 or 205.6%, to $382,000, from $125,000 during the three months ended March 31, 2023. The increase in financial income primarily resulted from a $264,000 increase in interest income from investment in marketable securities, money market funds and short-term bank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For the three months ended March 31, 2024, there was no change in our tax expenses as compared to the three months ended March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Our net loss increased by $2,776,000, or 65.2%, to $7,032,000, for the three months ended March 31, 2024, from $4,256,000 during the three months ended March 31, 2023. The increase in net loss resulted primarily from an increase of $2,952,000 in operating expenses and a decrease of $81,000 in gross profit, partially offset by an increase of $257,000 in financial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we have the ability to fund our planned operations for at least the next 12 months from issuance date of the financial statement. However, we expect to continue incurring losses and negative cash flows from operations until our products (primarily CGuard™ EPS) reach commercial profitability. Therefore, in order to fund our operations until such time that we can generate substantial revenues, we may need to raise additional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include continued commercialization of our products and raising capital through sale of additional equity securities, debt or capital inflows from strategic partnerships. There are no assurances, however, that we will be successful in obtaining the level of financing needed for our operations. If we are unsuccessful in commercializing our products or raising capital, we may need to reduce activities, curtail or cease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2023, we closed a private placement offering </w:t>
      </w:r>
      <w:r>
        <w:rPr>
          <w:rFonts w:ascii="Times New Roman;Times;Serif" w:hAnsi="Times New Roman;Times;Serif"/>
          <w:b w:val="false"/>
          <w:i w:val="false"/>
          <w:caps w:val="false"/>
          <w:smallCaps w:val="false"/>
          <w:sz w:val="20"/>
          <w:shd w:fill="FFFFFF" w:val="clear"/>
        </w:rPr>
        <w:t>of 10,266,270 shares (the “Private Placement Shares”) of our common stock, pre-funded warrants (the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12,914,086 shares of common stock (the “Series K Warrants” and together with the Series H Warrants, Series I Warrants and Series J Warrants, the “Warrants”), at an offering price of $1.6327 per Private Placement Share and associated Warrants and an offering price of $1.6326 per Pre-Funded Warrant and associated Warrants</w:t>
      </w:r>
      <w:r>
        <w:rPr>
          <w:rFonts w:ascii="Times New Roman;Times;Serif" w:hAnsi="Times New Roman;Times;Serif"/>
          <w:b w:val="false"/>
          <w:i w:val="false"/>
          <w:caps w:val="false"/>
          <w:smallCaps w:val="false"/>
          <w:sz w:val="20"/>
        </w:rPr>
        <w:t xml:space="preserve"> that resulted in aggregate gross proceeds of approximately $42.2 million, before deducting fees payable to the placement agent and other offering expenses payable by us. If the Warrants issued in the private placement offering are exercised in cash in full this would result in an additional $71.4 million of gross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March 31, 2024 compared to the Three months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At March 31, 2024, we had cash and cash equivalents of $9,389,000 and marketable securities of $24,561,000 as compared to cash and cash equivalents of $9,640,000 and short-term bank deposits of $29,383,000 as of December 31, 2023. We have historically met our cash needs through a combination of issuing new shares, borrowing activities and product sales. Our cash requirements are generally for research and development, marketing and sales activities, finance and administrative costs, capital expenditures and general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net cash used in our operating activities increased by $233,000, or 4.8%, to $5,064,000, from $4,831,000 during the same period in 2023. The primary reason for the increase in cash used in our operating activities was an increase of $917,000 in payments for third party related expenses and for professional services, an increase of $547,000 in compensation costs paid during the three months ended March 31, 2023, from $3,128,000 in the three months ended March 31, 2023 to $3,675,000 during the same period in 2024, offset in part by an increase of $1,185,000 in payments received from customers, and an increase of $46,000 in interest income received from money market funds and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in our investing activities was $4,817,000 during the three months ended March 31, 2024, compared to cash provided of $4,449,000 during the three months ended March 31, 2023. The primary reason for the increase in cash provided by our investing activities is a withdrawal of marketable securities of $5,040,000, net of investment in marketable securities in the three months ended March 31, 2024, compared to a withdrawal of short-term bank deposits of $4,500,000, net of investment in short-term bank deposits in the three months ended March 31, 2023, offset by an increase of $170,000 in payments made for purchase of property, plant and equipment during the three months ended March 31, 2024.</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cash provided by financing activities for the three months ended March 31, 2024 and for the three months ended March 31, 2023.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our current assets exceeded our current liabilities by a multiple of 7.9. Current assets decreased by $5,648,000 during the period and current liabilities decreased by $1,143,000 during the period. As a result, our working capital decreased by $4,505,000 to $33,634,000 as of March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That May Affect Future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future operating results will continue to be subject to quarterly variations based upon a wide variety of factors, including the cyclical nature of the ordering patterns of our distributors, timing of regulatory approvals, the implementation of various phases of our clinical trials and manufacturing efficiencies due to the learning curve of utilizing new materials and equipment.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there were no material changes to our contractual obligations and commitments since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and Issued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to our condensed financial statements in Part I, Item 1 of this Quarterly Report on Form 10-Q for new accounting pronouncements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8" w:name="Z_003"/>
      <w:bookmarkEnd w:id="358"/>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9" w:name="Z_004"/>
      <w:bookmarkEnd w:id="359"/>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Conclusions Regarding Effectiveness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we conducted an evaluation, under the supervision and participation of management including our chief executive officer and chief financial officer, of the effectiveness of our disclosure controls and procedures (as defined in Rule 13a-15(e) and Rule 15d-15(e) of the Securities Exchange Act of 1934, as amended). There are inherent limitations to the effectiveness of any system of disclosure controls and procedures. Accordingly, even effective disclosure controls and procedures can only provide reasonable assurance of achieving their control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this evaluation, our chief executive officer and chief financial officer concluded that our disclosure controls and procedures are effective at the reasonable assurance level as of March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fiscal quarter ended March 31, 2024, that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0" w:name="Z_005"/>
      <w:bookmarkEnd w:id="360"/>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1" w:name="Z_006"/>
      <w:bookmarkEnd w:id="361"/>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2" w:name="Z_007"/>
      <w:bookmarkEnd w:id="36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1A and the Risk Factors included in our previous filings made with the SEC, there have been no material changes to our risk factors from those disclosed in “Part I. Item 1A. Risk Factors” in the Form 10-K filed with the SEC on March 5, 2024.</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there are significant shifts in the political, economic and military conditions in Israel and its neighbors, it could have a material adverse effect on our business relationships and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 sole manufacturing facility and certain of our key personnel are located in Israel. Our business is directly affected by the political, economic and military conditions in Israel and its neighbors. Since the establishment of the State of Israel in 1948, a number of armed conflicts have occurred between Israel and its Arab neighbors.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addition, since the commencement of these events, there have been continued hostilities along Israel’s northern border with Lebanon (with the Hezbollah terror organization) and southern border (with the Houthi movement in Yemen, as described below). It is possible that hostilities with Hezbollah in Lebanon will escalate, and that other terrorist organizations, including Palestinian military organizations in the West Bank as well as other hostile countries will join the hostilities. </w:t>
      </w:r>
      <w:r>
        <w:rPr>
          <w:rFonts w:ascii="Times New Roman;Times;Serif" w:hAnsi="Times New Roman;Times;Serif"/>
          <w:b w:val="false"/>
          <w:i w:val="false"/>
          <w:caps w:val="false"/>
          <w:smallCaps w:val="false"/>
          <w:sz w:val="20"/>
          <w:shd w:fill="FFFFFF" w:val="clear"/>
        </w:rPr>
        <w:t xml:space="preserve">In addition, Iran recently launched a direct attack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These situations may potentially escalate in the future to more violent events which may affect Israel and us. Additionally, Yemeni rebel group, the Houthis, launched series of attacks on global shipping routes in the Red Sea, causing disruptions of supply chain. </w:t>
      </w:r>
      <w:r>
        <w:rPr>
          <w:rFonts w:ascii="Times New Roman;Times;Serif" w:hAnsi="Times New Roman;Times;Serif"/>
          <w:b w:val="false"/>
          <w:i w:val="false"/>
          <w:caps w:val="false"/>
          <w:smallCaps w:val="false"/>
          <w:sz w:val="20"/>
        </w:rPr>
        <w:t>Such clashes may escalate in the future into a greater regional conflict.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Israeli security cabinet’s declaration of war against Hamas and possible hostilities with other organizations, several hundred thousand Israeli military reservists were drafted to perform immediate military service, including five full time employees in Israel of ours. Although many of such military reservists have since been released, including the majority of our employees, they may be called up for additional reserve duty, depending on developments in the war in Gaza and along Israel’s other borders. As of the date hereof, two of our non-management employees in Israel. Military service call ups that result in absences of personnel from us for an extended period of time may materially and adversely affect our business, prospects, financial condition and results of operations. As of the date hereof, we currently have 56 full-time employees located in Israel and 12 employees located outside of Israel.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war broke out on October 7, 2023, our operations have not been adversely affected by this situation, and we have not experienced disruptions to our clinical studies. None of the clinical sites currently participating in our clinical studies are located in Israel however we currently manufacture our CGuard at our facility in Tel Aviv, Israel. If there were a disruption to our existing manufacturing facility or our ability to procure raw materials and ship our products, we would have no other means of manufacturing and distributing CGuard until we were able to restore the manufacturing and distribution capability at our facility or develop alternative manufacturing facilities and distribution capabilities.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intensity and duration of Israel’s current war against Hamas is difficult to predict at this stage, as are such war’s economic implications on the Company’s business and operations and on Israel’s economy in general. If the war extends for a long period of time or expands to other fronts, such as Lebanon, Syria and the West Bank, our operations may be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To date, these initiatives have been substantially put on hold.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3" w:name="Z_008"/>
      <w:bookmarkEnd w:id="363"/>
      <w:r>
        <w:rPr>
          <w:rFonts w:ascii="Times New Roman;Times;Serif" w:hAnsi="Times New Roman;Times;Serif"/>
          <w:b/>
          <w:i w:val="false"/>
          <w:caps w:val="false"/>
          <w:smallCaps w:val="false"/>
          <w:sz w:val="20"/>
        </w:rPr>
        <w:t>Item 2. Unregistered Sales of Equity Securities and Use of Proceeds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4" w:name="Z_009"/>
      <w:bookmarkEnd w:id="364"/>
      <w:r>
        <w:rPr>
          <w:rFonts w:ascii="Times New Roman;Times;Serif" w:hAnsi="Times New Roman;Times;Serif"/>
          <w:b/>
          <w:i w:val="false"/>
          <w:caps w:val="false"/>
          <w:smallCaps w:val="false"/>
          <w:sz w:val="20"/>
        </w:rPr>
        <w:t>Item 3. Defaults Upon Senior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5" w:name="Z_010"/>
      <w:bookmarkEnd w:id="365"/>
      <w:r>
        <w:rPr>
          <w:rFonts w:ascii="Times New Roman;Times;Serif" w:hAnsi="Times New Roman;Times;Serif"/>
          <w:b/>
          <w:i w:val="false"/>
          <w:caps w:val="false"/>
          <w:smallCaps w:val="false"/>
          <w:sz w:val="20"/>
        </w:rPr>
        <w:t>Item 4. Mine Safety Disclosures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6" w:name="Z_011"/>
      <w:bookmarkEnd w:id="366"/>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March 31, 2024, no director or officer of the Company </w:t>
      </w:r>
      <w:bookmarkStart w:id="367" w:name="xdx_908_eecd--NonRule10b51ArrAdoptedFlag"/>
      <w:bookmarkStart w:id="368" w:name="xdx_900_eecd--Rule10b51ArrAdoptedFlag_db"/>
      <w:bookmarkEnd w:id="367"/>
      <w:bookmarkEnd w:id="368"/>
      <w:r>
        <w:rPr>
          <w:rFonts w:ascii="Times New Roman;Times;Serif" w:hAnsi="Times New Roman;Times;Serif"/>
          <w:b w:val="false"/>
          <w:i w:val="false"/>
          <w:caps w:val="false"/>
          <w:smallCaps w:val="false"/>
          <w:sz w:val="20"/>
        </w:rPr>
        <w:t xml:space="preserve">adopted or </w:t>
      </w:r>
      <w:bookmarkStart w:id="369" w:name="xdx_90D_eecd--NonRule10b51ArrTrmntdFlag_"/>
      <w:bookmarkStart w:id="370" w:name="xdx_90F_eecd--Rule10b51ArrTrmntdFlag_dbF"/>
      <w:bookmarkEnd w:id="369"/>
      <w:bookmarkEnd w:id="370"/>
      <w:r>
        <w:rPr>
          <w:rFonts w:ascii="Times New Roman;Times;Serif" w:hAnsi="Times New Roman;Times;Serif"/>
          <w:b w:val="false"/>
          <w:i w:val="false"/>
          <w:caps w:val="false"/>
          <w:smallCaps w:val="false"/>
          <w:sz w:val="20"/>
        </w:rPr>
        <w:t>terminated a “Rule 10b5-1 trading arrangement” or a “non-Rule 10b5-1 trading arrangement” (in each case, as defined in Item 408 of Regulation S-K).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1" w:name="Z_012"/>
      <w:bookmarkEnd w:id="371"/>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0"/>
        <w:gridCol w:w="60"/>
        <w:gridCol w:w="9335"/>
      </w:tblGrid>
      <w:tr>
        <w:trPr/>
        <w:tc>
          <w:tcPr>
            <w:tcW w:w="81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as amended through March 31, 2015 (incorporated by reference to Exhibit 3.1 to Quarterly Report on Form 10-Q filed with the Securities and Exchange Commission on November 9, 2015)</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(incorporated by reference to Exhibit 3.2 to Current Report on Form 8-K filed with the Securities and Exchange Commission on June 29, 2021)</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May 25, 2016)</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29, 2016)</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Designation of Preferences, Rights and Limitations of Series C Convertible Preferred Stock (incorporated by reference to Exhibit 3.1 to the Current Report on Form 8-K filed on March 15, 2017)</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C Convertible Preferred Stock (incorporated by reference to Exhibit 3.1 to the Current Report on Form 8-K filed on November 29, 2017)</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B Convertible Preferred Stock (incorporated by reference to Exhibit 3.1 to the Current Report on Form 8-K filed on December 12, 2017)</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February 7, 2018)</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March 28, 2019)</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dated April 14, 2021 (incorporated by reference to Exhibit 3.17 to the Quarterly Report on Form 10-Q filed on May 10, 2021)</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13, 2023)</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(the Instance Document does not appear in the interactive data file because its XBRL tags are embedded within the Inline XBRL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2" w:name="Z_013"/>
      <w:bookmarkEnd w:id="37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1655"/>
        <w:gridCol w:w="590"/>
        <w:gridCol w:w="387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Marvin Slosman,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Craig Shore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Shore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373" w:name="ex31-1.htm"/>
      <w:bookmarkStart w:id="374" w:name="ksex311"/>
      <w:bookmarkEnd w:id="373"/>
      <w:bookmarkEnd w:id="37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Marvin Slosman,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InspireMD,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655"/>
        <w:gridCol w:w="2360"/>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375" w:name="ex31-2.htm"/>
      <w:bookmarkStart w:id="376" w:name="ksex312"/>
      <w:bookmarkEnd w:id="375"/>
      <w:bookmarkEnd w:id="37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Craig Shore,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InspireMD,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655"/>
        <w:gridCol w:w="387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38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Craig Shore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Shore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377" w:name="ex32-1.htm"/>
      <w:bookmarkStart w:id="378" w:name="ksex321"/>
      <w:bookmarkEnd w:id="377"/>
      <w:bookmarkEnd w:id="37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March 31, 2024 as filed with the Securities and Exchange Commission on the date hereof (the “Report”), I, Marvin Slosman, Chief Executive Officer of the Company, certify, pursuant to 18 U.S.C. ss. 1350,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r>
        <w:trPr/>
        <w:tc>
          <w:tcPr>
            <w:tcW w:w="264" w:type="dxa"/>
            <w:tcBorders/>
            <w:vAlign w:val="center"/>
          </w:tcPr>
          <w:p>
            <w:pPr>
              <w:pStyle w:val="TableContents"/>
              <w:bidi w:val="0"/>
              <w:spacing w:before="0" w:after="283"/>
              <w:jc w:val="righ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covered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655"/>
        <w:gridCol w:w="590"/>
        <w:gridCol w:w="2360"/>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379" w:name="ex32-2.htm"/>
      <w:bookmarkStart w:id="380" w:name="ksex322"/>
      <w:bookmarkEnd w:id="379"/>
      <w:bookmarkEnd w:id="38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March 31, 2024 as filed with the Securities and Exchange Commission on the date hereof (the “Report”), I, Craig Shore, Chief Financial Officer of the Company, certify, pursuant to 18 U.S.C. ss. 1350,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r>
        <w:trPr/>
        <w:tc>
          <w:tcPr>
            <w:tcW w:w="236" w:type="dxa"/>
            <w:tcBorders/>
            <w:vAlign w:val="center"/>
          </w:tcPr>
          <w:p>
            <w:pPr>
              <w:pStyle w:val="TableContents"/>
              <w:bidi w:val="0"/>
              <w:spacing w:before="0" w:after="283"/>
              <w:jc w:val="righ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covered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1655"/>
        <w:gridCol w:w="590"/>
        <w:gridCol w:w="3875"/>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Craig Shore</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Shore</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3607/000161577415003178/s102096_ex3-1.htm" TargetMode="External"/><Relationship Id="rId3" Type="http://schemas.openxmlformats.org/officeDocument/2006/relationships/hyperlink" Target="https://www.sec.gov/Archives/edgar/data/1433607/000149315221015545/ex3-2.htm" TargetMode="External"/><Relationship Id="rId4" Type="http://schemas.openxmlformats.org/officeDocument/2006/relationships/hyperlink" Target="https://www.sec.gov/Archives/edgar/data/1433607/000161577416005628/s103343_ex3-1.htm" TargetMode="External"/><Relationship Id="rId5" Type="http://schemas.openxmlformats.org/officeDocument/2006/relationships/hyperlink" Target="https://www.sec.gov/Archives/edgar/data/1433607/000149315216013705/ex3-1.htm" TargetMode="External"/><Relationship Id="rId6" Type="http://schemas.openxmlformats.org/officeDocument/2006/relationships/hyperlink" Target="https://www.sec.gov/Archives/edgar/data/1433607/000149315217002455/ex3-1.htm" TargetMode="External"/><Relationship Id="rId7" Type="http://schemas.openxmlformats.org/officeDocument/2006/relationships/hyperlink" Target="https://www.sec.gov/Archives/edgar/data/1433607/000149315217013917/ex3-1.htm" TargetMode="External"/><Relationship Id="rId8" Type="http://schemas.openxmlformats.org/officeDocument/2006/relationships/hyperlink" Target="https://www.sec.gov/Archives/edgar/data/1433607/000149315217014515/ex3-1.htm" TargetMode="External"/><Relationship Id="rId9" Type="http://schemas.openxmlformats.org/officeDocument/2006/relationships/hyperlink" Target="https://www.sec.gov/Archives/edgar/data/1433607/000149315218001617/ex3-1.htm" TargetMode="External"/><Relationship Id="rId10" Type="http://schemas.openxmlformats.org/officeDocument/2006/relationships/hyperlink" Target="https://www.sec.gov/Archives/edgar/data/1433607/000149315219004101/ex3-1.htm" TargetMode="External"/><Relationship Id="rId11" Type="http://schemas.openxmlformats.org/officeDocument/2006/relationships/hyperlink" Target="https://www.sec.gov/Archives/edgar/data/1433607/000149315221010881/ex3-17.htm" TargetMode="External"/><Relationship Id="rId12" Type="http://schemas.openxmlformats.org/officeDocument/2006/relationships/hyperlink" Target="https://www.sec.gov/Archives/edgar/data/1433607/000149315223032486/ex3-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11017</Words>
  <Characters>60525</Characters>
  <CharactersWithSpaces>72452</CharactersWithSpaces>
  <Paragraphs>3195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