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E_edei--DocumentPeriodEndDate_c202"/>
      <w:bookmarkEnd w:id="4"/>
      <w:r>
        <w:rPr>
          <w:rFonts w:ascii="Times New Roman;Times;Serif" w:hAnsi="Times New Roman;Times;Serif"/>
          <w:b/>
          <w:i w:val="false"/>
          <w:caps w:val="false"/>
          <w:smallCaps w:val="false"/>
          <w:sz w:val="20"/>
        </w:rPr>
        <w:t xml:space="preserve">June 30, </w:t>
      </w:r>
      <w:bookmarkStart w:id="5" w:name="xdx_909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F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0_edei--EntityFileNumber_c20250101"/>
      <w:bookmarkEnd w:id="7"/>
      <w:r>
        <w:rPr>
          <w:rFonts w:ascii="Times New Roman;Times;Serif" w:hAnsi="Times New Roman;Times;Serif"/>
          <w:b/>
          <w:i w:val="false"/>
          <w:caps w:val="false"/>
          <w:smallCaps w:val="false"/>
          <w:sz w:val="20"/>
        </w:rPr>
        <w:t>001-35731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C_edei--EntityRegistrantName_c2025"/>
      <w:bookmarkEnd w:id="8"/>
      <w:r>
        <w:rPr>
          <w:rFonts w:ascii="Times New Roman;Times;Serif" w:hAnsi="Times New Roman;Times;Serif"/>
          <w:b/>
          <w:i w:val="false"/>
          <w:caps w:val="false"/>
          <w:smallCaps w:val="false"/>
          <w:sz w:val="36"/>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TaxIdentificationNum"/>
            <w:bookmarkEnd w:id="10"/>
            <w:r>
              <w:rPr>
                <w:rFonts w:ascii="Times New Roman;Times;Serif" w:hAnsi="Times New Roman;Times;Serif"/>
                <w:b/>
                <w:i w:val="false"/>
                <w:caps w:val="false"/>
                <w:smallCaps w:val="false"/>
                <w:sz w:val="20"/>
              </w:rPr>
              <w:t>26-2123838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B_edei--EntityAddressAddressLine1_"/>
      <w:bookmarkEnd w:id="11"/>
      <w:r>
        <w:rPr>
          <w:rFonts w:ascii="Times New Roman;Times;Serif" w:hAnsi="Times New Roman;Times;Serif"/>
          <w:b/>
          <w:i w:val="false"/>
          <w:caps w:val="false"/>
          <w:smallCaps w:val="false"/>
          <w:sz w:val="20"/>
        </w:rPr>
        <w:t>6303 Waterford District Drive</w:t>
      </w:r>
    </w:p>
    <w:p>
      <w:pPr>
        <w:pStyle w:val="TextBody"/>
        <w:bidi w:val="0"/>
        <w:spacing w:before="0" w:after="0"/>
        <w:jc w:val="center"/>
        <w:rPr>
          <w:rFonts w:ascii="Times New Roman;Times;Serif" w:hAnsi="Times New Roman;Times;Serif"/>
          <w:b/>
          <w:i w:val="false"/>
          <w:caps w:val="false"/>
          <w:smallCaps w:val="false"/>
          <w:sz w:val="20"/>
        </w:rPr>
      </w:pPr>
      <w:bookmarkStart w:id="12" w:name="xdx_90B_edei--EntityAddressAddressLine2_"/>
      <w:bookmarkEnd w:id="12"/>
      <w:r>
        <w:rPr>
          <w:rFonts w:ascii="Times New Roman;Times;Serif" w:hAnsi="Times New Roman;Times;Serif"/>
          <w:b/>
          <w:i w:val="false"/>
          <w:caps w:val="false"/>
          <w:smallCaps w:val="false"/>
          <w:sz w:val="20"/>
        </w:rPr>
        <w:t>Suite 215</w:t>
      </w:r>
    </w:p>
    <w:p>
      <w:pPr>
        <w:pStyle w:val="TextBody"/>
        <w:bidi w:val="0"/>
        <w:spacing w:before="0" w:after="0"/>
        <w:jc w:val="center"/>
        <w:rPr>
          <w:rFonts w:ascii="Times New Roman;Times;Serif" w:hAnsi="Times New Roman;Times;Serif"/>
          <w:b/>
          <w:i w:val="false"/>
          <w:caps w:val="false"/>
          <w:smallCaps w:val="false"/>
          <w:sz w:val="20"/>
        </w:rPr>
      </w:pPr>
      <w:bookmarkStart w:id="13" w:name="xdx_90F_edei--EntityAddressCityOrTown_c2"/>
      <w:bookmarkEnd w:id="13"/>
      <w:r>
        <w:rPr>
          <w:rFonts w:ascii="Times New Roman;Times;Serif" w:hAnsi="Times New Roman;Times;Serif"/>
          <w:b/>
          <w:i w:val="false"/>
          <w:caps w:val="false"/>
          <w:smallCaps w:val="false"/>
          <w:sz w:val="20"/>
        </w:rPr>
        <w:t xml:space="preserve">Miami, </w:t>
      </w:r>
      <w:bookmarkStart w:id="14" w:name="xdx_903_edei--EntityAddressStateOrProvin"/>
      <w:bookmarkEnd w:id="14"/>
      <w:r>
        <w:rPr>
          <w:rFonts w:ascii="Times New Roman;Times;Serif" w:hAnsi="Times New Roman;Times;Serif"/>
          <w:b/>
          <w:i w:val="false"/>
          <w:caps w:val="false"/>
          <w:smallCaps w:val="false"/>
          <w:sz w:val="20"/>
        </w:rPr>
        <w:t xml:space="preserve">Florida </w:t>
      </w:r>
      <w:bookmarkStart w:id="15" w:name="xdx_908_edei--EntityAddressPostalZipCode"/>
      <w:bookmarkEnd w:id="15"/>
      <w:r>
        <w:rPr>
          <w:rFonts w:ascii="Times New Roman;Times;Serif" w:hAnsi="Times New Roman;Times;Serif"/>
          <w:b/>
          <w:i w:val="false"/>
          <w:caps w:val="false"/>
          <w:smallCaps w:val="false"/>
          <w:sz w:val="20"/>
        </w:rPr>
        <w:t>33126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5_edei--CityAreaCode_c20250101__20"/>
      <w:bookmarkEnd w:id="16"/>
      <w:r>
        <w:rPr>
          <w:rFonts w:ascii="Times New Roman;Times;Serif" w:hAnsi="Times New Roman;Times;Serif"/>
          <w:b/>
          <w:i w:val="false"/>
          <w:caps w:val="false"/>
          <w:smallCaps w:val="false"/>
          <w:sz w:val="20"/>
        </w:rPr>
        <w:t xml:space="preserve">(888) </w:t>
      </w:r>
      <w:bookmarkStart w:id="17" w:name="xdx_903_edei--LocalPhoneNumber_c20250101"/>
      <w:bookmarkEnd w:id="17"/>
      <w:r>
        <w:rPr>
          <w:rFonts w:ascii="Times New Roman;Times;Serif" w:hAnsi="Times New Roman;Times;Serif"/>
          <w:b/>
          <w:i w:val="false"/>
          <w:caps w:val="false"/>
          <w:smallCaps w:val="false"/>
          <w:sz w:val="20"/>
        </w:rPr>
        <w:t>776-6804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8" w:name="xdx_909_edei--EntityCurrentReportingStat"/>
      <w:bookmarkEnd w:id="18"/>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19" w:name="xdx_90F_edei--EntityInteractiveDataCurre"/>
      <w:bookmarkEnd w:id="19"/>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EntityFilerCategory_c20250"/>
            <w:bookmarkEnd w:id="20"/>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1" w:name="xdx_90E_edei--EntitySmallBusiness_c20250"/>
            <w:bookmarkEnd w:id="21"/>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3" w:name="xdx_903_edei--EntityShellCompany_dbF_c20"/>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12bTitle_c20250101"/>
            <w:bookmarkEnd w:id="24"/>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2_edei--TradingSymbol_c20250101__2"/>
            <w:bookmarkEnd w:id="25"/>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0_edei--SecurityExchangeName_c2025"/>
            <w:bookmarkEnd w:id="26"/>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w:t>
      </w:r>
      <w:bookmarkStart w:id="27" w:name="xdx_901_edei--EntityListingParValuePerSh"/>
      <w:bookmarkEnd w:id="27"/>
      <w:r>
        <w:rPr>
          <w:rFonts w:ascii="Times New Roman;Times;Serif" w:hAnsi="Times New Roman;Times;Serif"/>
          <w:b w:val="false"/>
          <w:i w:val="false"/>
          <w:caps w:val="false"/>
          <w:smallCaps w:val="false"/>
          <w:sz w:val="20"/>
        </w:rPr>
        <w:t xml:space="preserve">0.0001 par value, outstanding as of August 4, 2025: </w:t>
      </w:r>
      <w:bookmarkStart w:id="28" w:name="xdx_90F_edei--EntityCommonStockSharesOut"/>
      <w:bookmarkEnd w:id="28"/>
      <w:r>
        <w:rPr>
          <w:rFonts w:ascii="Times New Roman;Times;Serif" w:hAnsi="Times New Roman;Times;Serif"/>
          <w:b w:val="false"/>
          <w:i w:val="false"/>
          <w:caps w:val="false"/>
          <w:smallCaps w:val="false"/>
          <w:sz w:val="20"/>
        </w:rPr>
        <w:t>41,720,662</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9" w:name="kee_001"/>
      <w:bookmarkEnd w:id="29"/>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kee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kee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kee_0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kee_01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pPr>
            <w:hyperlink w:anchor="kee_003">
              <w:r>
                <w:rPr>
                  <w:rStyle w:val="InternetLink"/>
                  <w:rFonts w:ascii="Times New Roman;Times;Serif" w:hAnsi="Times New Roman;Times;Serif"/>
                  <w:b w:val="false"/>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kee_004">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kee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kee_009">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kee_010">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QUARTER ENDED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725"/>
        <w:gridCol w:w="935"/>
      </w:tblGrid>
      <w:tr>
        <w:trPr/>
        <w:tc>
          <w:tcPr>
            <w:tcW w:w="672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 (UNAUDITED):</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2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Condensed Consolidated Balance Sheets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6725"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Condensed Consolidated Statements of Operations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2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 xml:space="preserve">Condensed Consolidated Statements of Changes in Equity </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F-5 - F-8</w:t>
            </w:r>
          </w:p>
        </w:tc>
      </w:tr>
      <w:tr>
        <w:trPr/>
        <w:tc>
          <w:tcPr>
            <w:tcW w:w="6725"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Condensed Consolidated Statements of Cash Flows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F-9 </w:t>
            </w:r>
          </w:p>
        </w:tc>
      </w:tr>
      <w:tr>
        <w:trPr/>
        <w:tc>
          <w:tcPr>
            <w:tcW w:w="672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F-10 - F-17</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1"/>
      <w:bookmarkEnd w:id="30"/>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3_111_pn3n3_zuE8jafBPcJh"/>
      <w:bookmarkStart w:id="32" w:name="xdx_303_111_pn3n3_zuE8jafBPcJh"/>
      <w:bookmarkEnd w:id="32"/>
    </w:p>
    <w:tbl>
      <w:tblPr>
        <w:tblW w:w="7483" w:type="dxa"/>
        <w:jc w:val="left"/>
        <w:tblInd w:w="0" w:type="dxa"/>
        <w:tblLayout w:type="fixed"/>
        <w:tblCellMar>
          <w:top w:w="0" w:type="dxa"/>
          <w:left w:w="0" w:type="dxa"/>
          <w:bottom w:w="0" w:type="dxa"/>
          <w:right w:w="0" w:type="dxa"/>
        </w:tblCellMar>
      </w:tblPr>
      <w:tblGrid>
        <w:gridCol w:w="4940"/>
        <w:gridCol w:w="60"/>
        <w:gridCol w:w="149"/>
        <w:gridCol w:w="725"/>
        <w:gridCol w:w="60"/>
        <w:gridCol w:w="60"/>
        <w:gridCol w:w="241"/>
        <w:gridCol w:w="1173"/>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5_20250630_zvA8pJAvpoNd"/>
            <w:bookmarkEnd w:id="33"/>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C_20241231_zjPLtErvdvh5"/>
            <w:bookmarkEnd w:id="3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5" w:name="xdx_405_eus-gaap--AssetsAbstract_iB_zJjs"/>
            <w:bookmarkEnd w:id="35"/>
          </w:p>
        </w:tc>
      </w:tr>
      <w:tr>
        <w:trPr/>
        <w:tc>
          <w:tcPr>
            <w:tcW w:w="49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 w:name="xdx_40B_eus-gaap--AssetsCurrentAbstract_"/>
            <w:bookmarkEnd w:id="36"/>
          </w:p>
        </w:tc>
      </w:tr>
      <w:tr>
        <w:trPr/>
        <w:tc>
          <w:tcPr>
            <w:tcW w:w="494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7" w:name="xdx_401_eus-gaap--CashAndCashEquivalents"/>
            <w:bookmarkEnd w:id="37"/>
          </w:p>
        </w:tc>
      </w:tr>
      <w:tr>
        <w:trPr/>
        <w:tc>
          <w:tcPr>
            <w:tcW w:w="49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11,509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18,916</w:t>
            </w:r>
          </w:p>
        </w:tc>
        <w:tc>
          <w:tcPr>
            <w:tcW w:w="75" w:type="dxa"/>
            <w:tcBorders/>
            <w:shd w:fill="CCEEFF" w:val="clear"/>
            <w:vAlign w:val="center"/>
          </w:tcPr>
          <w:p>
            <w:pPr>
              <w:pStyle w:val="TableContents"/>
              <w:bidi w:val="0"/>
              <w:spacing w:before="0" w:after="283"/>
              <w:jc w:val="left"/>
              <w:rPr/>
            </w:pPr>
            <w:r>
              <w:rPr/>
              <w:t> </w:t>
            </w:r>
            <w:bookmarkStart w:id="38" w:name="xdx_40A_eus-gaap--MarketableSecuritiesCu"/>
            <w:bookmarkEnd w:id="38"/>
          </w:p>
        </w:tc>
      </w:tr>
      <w:tr>
        <w:trPr/>
        <w:tc>
          <w:tcPr>
            <w:tcW w:w="494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7,865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15,721</w:t>
            </w:r>
          </w:p>
        </w:tc>
        <w:tc>
          <w:tcPr>
            <w:tcW w:w="75" w:type="dxa"/>
            <w:tcBorders/>
            <w:shd w:fill="FFFFFF" w:val="clear"/>
            <w:vAlign w:val="center"/>
          </w:tcPr>
          <w:p>
            <w:pPr>
              <w:pStyle w:val="TableContents"/>
              <w:bidi w:val="0"/>
              <w:spacing w:before="0" w:after="283"/>
              <w:jc w:val="left"/>
              <w:rPr/>
            </w:pPr>
            <w:r>
              <w:rPr/>
              <w:t> </w:t>
            </w:r>
            <w:bookmarkStart w:id="39" w:name="xdx_401_eus-gaap--AccountsReceivableNetC"/>
            <w:bookmarkEnd w:id="39"/>
          </w:p>
        </w:tc>
      </w:tr>
      <w:tr>
        <w:trPr/>
        <w:tc>
          <w:tcPr>
            <w:tcW w:w="494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0" w:name="xdx_406_eus-gaap--AccountsReceivableNetC"/>
            <w:bookmarkEnd w:id="40"/>
          </w:p>
        </w:tc>
      </w:tr>
      <w:tr>
        <w:trPr/>
        <w:tc>
          <w:tcPr>
            <w:tcW w:w="494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1,572</w:t>
            </w:r>
          </w:p>
        </w:tc>
        <w:tc>
          <w:tcPr>
            <w:tcW w:w="75" w:type="dxa"/>
            <w:tcBorders/>
            <w:shd w:fill="FFFFFF" w:val="clear"/>
            <w:vAlign w:val="center"/>
          </w:tcPr>
          <w:p>
            <w:pPr>
              <w:pStyle w:val="TableContents"/>
              <w:bidi w:val="0"/>
              <w:spacing w:before="0" w:after="283"/>
              <w:jc w:val="left"/>
              <w:rPr/>
            </w:pPr>
            <w:r>
              <w:rPr/>
              <w:t> </w:t>
            </w:r>
            <w:bookmarkStart w:id="41" w:name="xdx_405_eus-gaap--NontradeReceivablesCur"/>
            <w:bookmarkEnd w:id="41"/>
          </w:p>
        </w:tc>
      </w:tr>
      <w:tr>
        <w:trPr/>
        <w:tc>
          <w:tcPr>
            <w:tcW w:w="494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682</w:t>
            </w:r>
          </w:p>
        </w:tc>
        <w:tc>
          <w:tcPr>
            <w:tcW w:w="75" w:type="dxa"/>
            <w:tcBorders/>
            <w:shd w:fill="CCEEFF" w:val="clear"/>
            <w:vAlign w:val="center"/>
          </w:tcPr>
          <w:p>
            <w:pPr>
              <w:pStyle w:val="TableContents"/>
              <w:bidi w:val="0"/>
              <w:spacing w:before="0" w:after="283"/>
              <w:jc w:val="left"/>
              <w:rPr/>
            </w:pPr>
            <w:r>
              <w:rPr/>
              <w:t> </w:t>
            </w:r>
            <w:bookmarkStart w:id="42" w:name="xdx_407_eus-gaap--PrepaidExpenseCurrent_"/>
            <w:bookmarkEnd w:id="42"/>
          </w:p>
        </w:tc>
      </w:tr>
      <w:tr>
        <w:trPr/>
        <w:tc>
          <w:tcPr>
            <w:tcW w:w="494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1,060</w:t>
            </w:r>
          </w:p>
        </w:tc>
        <w:tc>
          <w:tcPr>
            <w:tcW w:w="75" w:type="dxa"/>
            <w:tcBorders/>
            <w:shd w:fill="FFFFFF" w:val="clear"/>
            <w:vAlign w:val="center"/>
          </w:tcPr>
          <w:p>
            <w:pPr>
              <w:pStyle w:val="TableContents"/>
              <w:bidi w:val="0"/>
              <w:spacing w:before="0" w:after="283"/>
              <w:jc w:val="left"/>
              <w:rPr/>
            </w:pPr>
            <w:r>
              <w:rPr/>
              <w:t> </w:t>
            </w:r>
            <w:bookmarkStart w:id="43" w:name="xdx_40C_eus-gaap--InventoryNet_i02I_maCz"/>
            <w:bookmarkEnd w:id="43"/>
          </w:p>
        </w:tc>
      </w:tr>
      <w:tr>
        <w:trPr/>
        <w:tc>
          <w:tcPr>
            <w:tcW w:w="494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3,054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2,570</w:t>
            </w:r>
          </w:p>
        </w:tc>
        <w:tc>
          <w:tcPr>
            <w:tcW w:w="75" w:type="dxa"/>
            <w:tcBorders/>
            <w:shd w:fill="CCEEFF" w:val="clear"/>
            <w:vAlign w:val="center"/>
          </w:tcPr>
          <w:p>
            <w:pPr>
              <w:pStyle w:val="TableContents"/>
              <w:bidi w:val="0"/>
              <w:spacing w:before="0" w:after="283"/>
              <w:jc w:val="left"/>
              <w:rPr/>
            </w:pPr>
            <w:r>
              <w:rPr/>
              <w:t> </w:t>
            </w:r>
            <w:bookmarkStart w:id="44" w:name="xdx_406_eus-gaap--AssetsCurrent_i02TI_mt"/>
            <w:bookmarkEnd w:id="44"/>
          </w:p>
        </w:tc>
      </w:tr>
      <w:tr>
        <w:trPr/>
        <w:tc>
          <w:tcPr>
            <w:tcW w:w="494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25,463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40,521</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5" w:name="xdx_408_eus-gaap--AssetsNoncurrentAbstra"/>
            <w:bookmarkEnd w:id="45"/>
          </w:p>
        </w:tc>
      </w:tr>
      <w:tr>
        <w:trPr/>
        <w:tc>
          <w:tcPr>
            <w:tcW w:w="494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 w:name="xdx_402_eus-gaap--DepositsAssetsNoncurre"/>
            <w:bookmarkEnd w:id="46"/>
          </w:p>
        </w:tc>
      </w:tr>
      <w:tr>
        <w:trPr/>
        <w:tc>
          <w:tcPr>
            <w:tcW w:w="4940" w:type="dxa"/>
            <w:tcBorders/>
            <w:shd w:fill="CCEEFF" w:val="clear"/>
            <w:vAlign w:val="center"/>
          </w:tcPr>
          <w:p>
            <w:pPr>
              <w:pStyle w:val="TableContents"/>
              <w:bidi w:val="0"/>
              <w:spacing w:before="0" w:after="283"/>
              <w:jc w:val="left"/>
              <w:rPr/>
            </w:pPr>
            <w:r>
              <w:rPr/>
              <w:t>Long term deposit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426</w:t>
            </w:r>
          </w:p>
        </w:tc>
        <w:tc>
          <w:tcPr>
            <w:tcW w:w="75" w:type="dxa"/>
            <w:tcBorders/>
            <w:shd w:fill="CCEEFF" w:val="clear"/>
            <w:vAlign w:val="center"/>
          </w:tcPr>
          <w:p>
            <w:pPr>
              <w:pStyle w:val="TableContents"/>
              <w:bidi w:val="0"/>
              <w:spacing w:before="0" w:after="283"/>
              <w:jc w:val="left"/>
              <w:rPr/>
            </w:pPr>
            <w:r>
              <w:rPr/>
              <w:t> </w:t>
            </w:r>
            <w:bookmarkStart w:id="47" w:name="xdx_408_eus-gaap--PropertyPlantAndEquipm"/>
            <w:bookmarkEnd w:id="47"/>
          </w:p>
        </w:tc>
      </w:tr>
      <w:tr>
        <w:trPr/>
        <w:tc>
          <w:tcPr>
            <w:tcW w:w="494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2,371</w:t>
            </w:r>
          </w:p>
        </w:tc>
        <w:tc>
          <w:tcPr>
            <w:tcW w:w="75" w:type="dxa"/>
            <w:tcBorders/>
            <w:shd w:fill="FFFFFF" w:val="clear"/>
            <w:vAlign w:val="center"/>
          </w:tcPr>
          <w:p>
            <w:pPr>
              <w:pStyle w:val="TableContents"/>
              <w:bidi w:val="0"/>
              <w:spacing w:before="0" w:after="283"/>
              <w:jc w:val="left"/>
              <w:rPr/>
            </w:pPr>
            <w:r>
              <w:rPr/>
              <w:t> </w:t>
            </w:r>
            <w:bookmarkStart w:id="48" w:name="xdx_40A_eus-gaap--OperatingLeaseRightOfU"/>
            <w:bookmarkEnd w:id="48"/>
          </w:p>
        </w:tc>
      </w:tr>
      <w:tr>
        <w:trPr/>
        <w:tc>
          <w:tcPr>
            <w:tcW w:w="4940" w:type="dxa"/>
            <w:tcBorders/>
            <w:shd w:fill="CCEEFF" w:val="clear"/>
            <w:vAlign w:val="center"/>
          </w:tcPr>
          <w:p>
            <w:pPr>
              <w:pStyle w:val="TableContents"/>
              <w:bidi w:val="0"/>
              <w:spacing w:before="0" w:after="283"/>
              <w:jc w:val="left"/>
              <w:rPr/>
            </w:pPr>
            <w:r>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bookmarkStart w:id="49" w:name="xdx_40D_eus-gaap--DefinedBenefitPlanAsse"/>
            <w:bookmarkEnd w:id="49"/>
          </w:p>
        </w:tc>
      </w:tr>
      <w:tr>
        <w:trPr/>
        <w:tc>
          <w:tcPr>
            <w:tcW w:w="4940" w:type="dxa"/>
            <w:tcBorders/>
            <w:shd w:fill="FFFFFF" w:val="clear"/>
            <w:vAlign w:val="center"/>
          </w:tcPr>
          <w:p>
            <w:pPr>
              <w:pStyle w:val="TableContents"/>
              <w:bidi w:val="0"/>
              <w:spacing w:before="0" w:after="283"/>
              <w:jc w:val="left"/>
              <w:rPr/>
            </w:pPr>
            <w:r>
              <w:rPr/>
              <w:t>Funds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1,276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1,129</w:t>
            </w:r>
          </w:p>
        </w:tc>
        <w:tc>
          <w:tcPr>
            <w:tcW w:w="75" w:type="dxa"/>
            <w:tcBorders/>
            <w:shd w:fill="FFFFFF" w:val="clear"/>
            <w:vAlign w:val="center"/>
          </w:tcPr>
          <w:p>
            <w:pPr>
              <w:pStyle w:val="TableContents"/>
              <w:bidi w:val="0"/>
              <w:spacing w:before="0" w:after="283"/>
              <w:jc w:val="left"/>
              <w:rPr/>
            </w:pPr>
            <w:r>
              <w:rPr/>
              <w:t> </w:t>
            </w:r>
            <w:bookmarkStart w:id="50" w:name="xdx_40A_eus-gaap--AssetsNoncurrent_i02TI"/>
            <w:bookmarkEnd w:id="50"/>
          </w:p>
        </w:tc>
      </w:tr>
      <w:tr>
        <w:trPr/>
        <w:tc>
          <w:tcPr>
            <w:tcW w:w="494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7,879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6,286</w:t>
            </w:r>
          </w:p>
        </w:tc>
        <w:tc>
          <w:tcPr>
            <w:tcW w:w="75" w:type="dxa"/>
            <w:tcBorders/>
            <w:shd w:fill="CCEEFF" w:val="clear"/>
            <w:vAlign w:val="center"/>
          </w:tcPr>
          <w:p>
            <w:pPr>
              <w:pStyle w:val="TableContents"/>
              <w:bidi w:val="0"/>
              <w:spacing w:before="0" w:after="283"/>
              <w:jc w:val="left"/>
              <w:rPr/>
            </w:pPr>
            <w:r>
              <w:rPr/>
              <w:t> </w:t>
            </w:r>
            <w:bookmarkStart w:id="51" w:name="xdx_40E_eus-gaap--Assets_i01TI_mtCzvT1_z"/>
            <w:bookmarkEnd w:id="51"/>
          </w:p>
        </w:tc>
      </w:tr>
      <w:tr>
        <w:trPr/>
        <w:tc>
          <w:tcPr>
            <w:tcW w:w="494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33,342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46,807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7"/>
        <w:gridCol w:w="60"/>
        <w:gridCol w:w="140"/>
        <w:gridCol w:w="875"/>
        <w:gridCol w:w="95"/>
        <w:gridCol w:w="60"/>
        <w:gridCol w:w="159"/>
        <w:gridCol w:w="998"/>
        <w:gridCol w:w="111"/>
      </w:tblGrid>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1" w:type="dxa"/>
            <w:tcBorders/>
            <w:vAlign w:val="center"/>
          </w:tcPr>
          <w:p>
            <w:pPr>
              <w:pStyle w:val="TableContents"/>
              <w:bidi w:val="0"/>
              <w:spacing w:before="0" w:after="283"/>
              <w:jc w:val="left"/>
              <w:rPr/>
            </w:pPr>
            <w:r>
              <w:rPr/>
              <w:t> </w:t>
            </w:r>
            <w:bookmarkStart w:id="52" w:name="xdx_408_eus-gaap--LiabilitiesAndStockhol"/>
            <w:bookmarkEnd w:id="52"/>
          </w:p>
        </w:tc>
      </w:tr>
      <w:tr>
        <w:trPr/>
        <w:tc>
          <w:tcPr>
            <w:tcW w:w="7707" w:type="dxa"/>
            <w:tcBorders/>
            <w:shd w:fill="CCEEFF" w:val="clear"/>
            <w:vAlign w:val="center"/>
          </w:tcPr>
          <w:p>
            <w:pPr>
              <w:pStyle w:val="TableContents"/>
              <w:bidi w:val="0"/>
              <w:spacing w:before="0" w:after="283"/>
              <w:jc w:val="center"/>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3" w:name="xdx_40B_eus-gaap--LiabilitiesCurrentAbst"/>
            <w:bookmarkEnd w:id="53"/>
          </w:p>
        </w:tc>
      </w:tr>
      <w:tr>
        <w:trPr/>
        <w:tc>
          <w:tcPr>
            <w:tcW w:w="770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4" w:name="xdx_409_eus-gaap--AccountsPayableAndAccr"/>
            <w:bookmarkEnd w:id="54"/>
          </w:p>
        </w:tc>
      </w:tr>
      <w:tr>
        <w:trPr/>
        <w:tc>
          <w:tcPr>
            <w:tcW w:w="7707"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5" w:name="xdx_40C_eus-gaap--AccountsPayableTradeCu"/>
            <w:bookmarkEnd w:id="55"/>
          </w:p>
        </w:tc>
      </w:tr>
      <w:tr>
        <w:trPr/>
        <w:tc>
          <w:tcPr>
            <w:tcW w:w="7707"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1,254</w:t>
            </w:r>
          </w:p>
        </w:tc>
        <w:tc>
          <w:tcPr>
            <w:tcW w:w="111" w:type="dxa"/>
            <w:tcBorders/>
            <w:shd w:fill="CCEEFF" w:val="clear"/>
            <w:vAlign w:val="center"/>
          </w:tcPr>
          <w:p>
            <w:pPr>
              <w:pStyle w:val="TableContents"/>
              <w:bidi w:val="0"/>
              <w:spacing w:before="0" w:after="283"/>
              <w:jc w:val="left"/>
              <w:rPr/>
            </w:pPr>
            <w:r>
              <w:rPr/>
              <w:t> </w:t>
            </w:r>
            <w:bookmarkStart w:id="56" w:name="xdx_40E_eus-gaap--AccountsPayableOtherCu"/>
            <w:bookmarkEnd w:id="56"/>
          </w:p>
        </w:tc>
      </w:tr>
      <w:tr>
        <w:trPr/>
        <w:tc>
          <w:tcPr>
            <w:tcW w:w="7707"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6,424</w:t>
            </w:r>
          </w:p>
        </w:tc>
        <w:tc>
          <w:tcPr>
            <w:tcW w:w="111" w:type="dxa"/>
            <w:tcBorders/>
            <w:shd w:fill="FFFFFF" w:val="clear"/>
            <w:vAlign w:val="center"/>
          </w:tcPr>
          <w:p>
            <w:pPr>
              <w:pStyle w:val="TableContents"/>
              <w:bidi w:val="0"/>
              <w:spacing w:before="0" w:after="283"/>
              <w:jc w:val="left"/>
              <w:rPr/>
            </w:pPr>
            <w:r>
              <w:rPr/>
              <w:t> </w:t>
            </w:r>
            <w:bookmarkStart w:id="57" w:name="xdx_407_eus-gaap--LiabilitiesCurrent_i02"/>
            <w:bookmarkEnd w:id="57"/>
          </w:p>
        </w:tc>
      </w:tr>
      <w:tr>
        <w:trPr/>
        <w:tc>
          <w:tcPr>
            <w:tcW w:w="7707"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9,068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7,678</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8" w:name="xdx_407_eus-gaap--LiabilitiesNoncurrentA"/>
            <w:bookmarkEnd w:id="58"/>
          </w:p>
        </w:tc>
      </w:tr>
      <w:tr>
        <w:trPr/>
        <w:tc>
          <w:tcPr>
            <w:tcW w:w="7707"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9" w:name="xdx_402_eus-gaap--OperatingLeaseLiabilit"/>
            <w:bookmarkEnd w:id="59"/>
          </w:p>
        </w:tc>
      </w:tr>
      <w:tr>
        <w:trPr/>
        <w:tc>
          <w:tcPr>
            <w:tcW w:w="7707" w:type="dxa"/>
            <w:tcBorders/>
            <w:shd w:fill="FFFFFF" w:val="clear"/>
            <w:vAlign w:val="center"/>
          </w:tcPr>
          <w:p>
            <w:pPr>
              <w:pStyle w:val="TableContents"/>
              <w:bidi w:val="0"/>
              <w:spacing w:before="0" w:after="283"/>
              <w:jc w:val="left"/>
              <w:rPr/>
            </w:pPr>
            <w:r>
              <w:rPr/>
              <w:t>Operating lease liabilities net of current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1,796</w:t>
            </w:r>
          </w:p>
        </w:tc>
        <w:tc>
          <w:tcPr>
            <w:tcW w:w="111" w:type="dxa"/>
            <w:tcBorders/>
            <w:shd w:fill="FFFFFF" w:val="clear"/>
            <w:vAlign w:val="center"/>
          </w:tcPr>
          <w:p>
            <w:pPr>
              <w:pStyle w:val="TableContents"/>
              <w:bidi w:val="0"/>
              <w:spacing w:before="0" w:after="283"/>
              <w:jc w:val="left"/>
              <w:rPr/>
            </w:pPr>
            <w:r>
              <w:rPr/>
              <w:t> </w:t>
            </w:r>
            <w:bookmarkStart w:id="60" w:name="xdx_40A_eus-gaap--PensionAndOtherPostret"/>
            <w:bookmarkEnd w:id="60"/>
          </w:p>
        </w:tc>
      </w:tr>
      <w:tr>
        <w:trPr/>
        <w:tc>
          <w:tcPr>
            <w:tcW w:w="7707" w:type="dxa"/>
            <w:tcBorders/>
            <w:shd w:fill="CCEEFF" w:val="clear"/>
            <w:vAlign w:val="center"/>
          </w:tcPr>
          <w:p>
            <w:pPr>
              <w:pStyle w:val="TableContents"/>
              <w:bidi w:val="0"/>
              <w:spacing w:before="0" w:after="283"/>
              <w:jc w:val="left"/>
              <w:rPr/>
            </w:pPr>
            <w:r>
              <w:rPr/>
              <w:t>Liability for employees’ rights upon retirement and 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1,247</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1" w:name="xdx_406_eus-gaap--LiabilitiesNoncurrent_"/>
            <w:bookmarkEnd w:id="61"/>
          </w:p>
        </w:tc>
      </w:tr>
      <w:tr>
        <w:trPr/>
        <w:tc>
          <w:tcPr>
            <w:tcW w:w="7707"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3,043</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2" w:name="xdx_40A_eus-gaap--Liabilities_i01TI_mtCz"/>
            <w:bookmarkEnd w:id="62"/>
          </w:p>
        </w:tc>
      </w:tr>
      <w:tr>
        <w:trPr/>
        <w:tc>
          <w:tcPr>
            <w:tcW w:w="7707"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13,099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10,721</w:t>
            </w:r>
          </w:p>
        </w:tc>
        <w:tc>
          <w:tcPr>
            <w:tcW w:w="111" w:type="dxa"/>
            <w:tcBorders/>
            <w:shd w:fill="CCEEFF" w:val="clear"/>
            <w:vAlign w:val="center"/>
          </w:tcPr>
          <w:p>
            <w:pPr>
              <w:pStyle w:val="TableContents"/>
              <w:bidi w:val="0"/>
              <w:spacing w:before="0" w:after="283"/>
              <w:jc w:val="left"/>
              <w:rPr/>
            </w:pPr>
            <w:r>
              <w:rPr/>
              <w:t> </w:t>
            </w:r>
            <w:bookmarkStart w:id="63" w:name="xdx_40C_eus-gaap--CommitmentsAndContinge"/>
            <w:bookmarkEnd w:id="63"/>
          </w:p>
        </w:tc>
      </w:tr>
      <w:tr>
        <w:trPr/>
        <w:tc>
          <w:tcPr>
            <w:tcW w:w="7707" w:type="dxa"/>
            <w:tcBorders/>
            <w:shd w:fill="FFFFFF" w:val="clear"/>
            <w:vAlign w:val="center"/>
          </w:tcPr>
          <w:p>
            <w:pPr>
              <w:pStyle w:val="TableContents"/>
              <w:bidi w:val="0"/>
              <w:spacing w:before="0" w:after="283"/>
              <w:jc w:val="left"/>
              <w:rPr>
                <w:b/>
              </w:rPr>
            </w:pPr>
            <w:r>
              <w:rPr>
                <w:b/>
              </w:rPr>
              <w:t>COMMITMENTS AND CONTINGENT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bookmarkStart w:id="64" w:name="xdx_404_eus-gaap--StockholdersEquityAbst"/>
            <w:bookmarkEnd w:id="64"/>
          </w:p>
        </w:tc>
      </w:tr>
      <w:tr>
        <w:trPr/>
        <w:tc>
          <w:tcPr>
            <w:tcW w:w="7707"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5" w:name="xdx_40F_eus-gaap--CommonStockValue_i02I_"/>
            <w:bookmarkEnd w:id="65"/>
          </w:p>
        </w:tc>
      </w:tr>
      <w:tr>
        <w:trPr/>
        <w:tc>
          <w:tcPr>
            <w:tcW w:w="7707" w:type="dxa"/>
            <w:tcBorders/>
            <w:shd w:fill="CCEEFF" w:val="clear"/>
            <w:vAlign w:val="center"/>
          </w:tcPr>
          <w:p>
            <w:pPr>
              <w:pStyle w:val="TableContents"/>
              <w:bidi w:val="0"/>
              <w:spacing w:before="0" w:after="283"/>
              <w:jc w:val="left"/>
              <w:rPr/>
            </w:pPr>
            <w:r>
              <w:rPr/>
              <w:t>Common stock, par value $</w:t>
            </w:r>
            <w:bookmarkStart w:id="66" w:name="xdx_906_eus-gaap--CommonStockParOrStated"/>
            <w:bookmarkStart w:id="67" w:name="xdx_902_eus-gaap--CommonStockParOrStated"/>
            <w:bookmarkEnd w:id="66"/>
            <w:bookmarkEnd w:id="67"/>
            <w:r>
              <w:rPr/>
              <w:t xml:space="preserve">0.0001 per share; </w:t>
            </w:r>
            <w:bookmarkStart w:id="68" w:name="xdx_904_eus-gaap--CommonStockSharesAutho"/>
            <w:bookmarkStart w:id="69" w:name="xdx_90E_eus-gaap--CommonStockSharesAutho"/>
            <w:bookmarkEnd w:id="68"/>
            <w:bookmarkEnd w:id="69"/>
            <w:r>
              <w:rPr/>
              <w:t xml:space="preserve">150,000,000 shares authorized at June 30, 2025 and December 31, 2024; </w:t>
            </w:r>
            <w:bookmarkStart w:id="70" w:name="xdx_90B_eus-gaap--CommonStockSharesOutst"/>
            <w:bookmarkStart w:id="71" w:name="xdx_90D_eus-gaap--CommonStockSharesIssue"/>
            <w:bookmarkEnd w:id="70"/>
            <w:bookmarkEnd w:id="71"/>
            <w:r>
              <w:rPr/>
              <w:t xml:space="preserve">32,552,888 and </w:t>
            </w:r>
            <w:bookmarkStart w:id="72" w:name="xdx_909_eus-gaap--CommonStockSharesOutst"/>
            <w:bookmarkStart w:id="73" w:name="xdx_90A_eus-gaap--CommonStockSharesIssue"/>
            <w:bookmarkEnd w:id="72"/>
            <w:bookmarkEnd w:id="73"/>
            <w:r>
              <w:rPr/>
              <w:t>26,611,033 shares issued and outstanding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bookmarkStart w:id="74" w:name="xdx_40A_eus-gaap--PreferredStockValue_i0"/>
            <w:bookmarkEnd w:id="74"/>
          </w:p>
        </w:tc>
      </w:tr>
      <w:tr>
        <w:trPr/>
        <w:tc>
          <w:tcPr>
            <w:tcW w:w="7707" w:type="dxa"/>
            <w:tcBorders/>
            <w:shd w:fill="FFFFFF" w:val="clear"/>
            <w:vAlign w:val="center"/>
          </w:tcPr>
          <w:p>
            <w:pPr>
              <w:pStyle w:val="TableContents"/>
              <w:bidi w:val="0"/>
              <w:spacing w:before="0" w:after="283"/>
              <w:jc w:val="both"/>
              <w:rPr/>
            </w:pPr>
            <w:r>
              <w:rPr/>
              <w:t>Preferred C shares, par value $</w:t>
            </w:r>
            <w:bookmarkStart w:id="75" w:name="xdx_90B_eus-gaap--PreferredStockParOrSta"/>
            <w:bookmarkStart w:id="76" w:name="xdx_902_eus-gaap--PreferredStockParOrSta"/>
            <w:bookmarkEnd w:id="75"/>
            <w:bookmarkEnd w:id="76"/>
            <w:r>
              <w:rPr/>
              <w:t xml:space="preserve">0.0001 per share; </w:t>
              <w:br/>
            </w:r>
            <w:bookmarkStart w:id="77" w:name="xdx_904_eus-gaap--PreferredStockSharesAu"/>
            <w:bookmarkStart w:id="78" w:name="xdx_90E_eus-gaap--PreferredStockSharesAu"/>
            <w:bookmarkEnd w:id="77"/>
            <w:bookmarkEnd w:id="78"/>
            <w:r>
              <w:rPr/>
              <w:t xml:space="preserve">1,172,000 shares authorized at June 30, 2025 and December 31, 2024; </w:t>
            </w:r>
            <w:bookmarkStart w:id="79" w:name="xdx_903_eus-gaap--PreferredStockSharesOu"/>
            <w:bookmarkStart w:id="80" w:name="xdx_903_eus-gaap--PreferredStockSharesIs"/>
            <w:bookmarkStart w:id="81" w:name="xdx_901_eus-gaap--PreferredStockSharesOu"/>
            <w:bookmarkStart w:id="82" w:name="xdx_908_eus-gaap--PreferredStockSharesIs"/>
            <w:bookmarkEnd w:id="79"/>
            <w:bookmarkEnd w:id="80"/>
            <w:bookmarkEnd w:id="81"/>
            <w:bookmarkEnd w:id="82"/>
            <w:r>
              <w:rPr/>
              <w:t>1,718 shares issued and outstanding at June 30, 2025 and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83" w:name="xdx_F24_zNkBHlMUU0E1"/>
            <w:bookmarkEnd w:id="83"/>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84" w:name="xdx_F29_zyRLUVsBKeZe"/>
            <w:bookmarkEnd w:id="84"/>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bookmarkStart w:id="85" w:name="xdx_40C_eus-gaap--AdditionalPaidInCapita"/>
            <w:bookmarkEnd w:id="85"/>
          </w:p>
        </w:tc>
      </w:tr>
      <w:tr>
        <w:trPr/>
        <w:tc>
          <w:tcPr>
            <w:tcW w:w="770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298,063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289,589</w:t>
            </w:r>
          </w:p>
        </w:tc>
        <w:tc>
          <w:tcPr>
            <w:tcW w:w="111" w:type="dxa"/>
            <w:tcBorders/>
            <w:shd w:fill="CCEEFF" w:val="clear"/>
            <w:vAlign w:val="center"/>
          </w:tcPr>
          <w:p>
            <w:pPr>
              <w:pStyle w:val="TableContents"/>
              <w:bidi w:val="0"/>
              <w:spacing w:before="0" w:after="283"/>
              <w:jc w:val="left"/>
              <w:rPr/>
            </w:pPr>
            <w:r>
              <w:rPr/>
              <w:t> </w:t>
            </w:r>
            <w:bookmarkStart w:id="86" w:name="xdx_40E_eus-gaap--RetainedEarningsAccumu"/>
            <w:bookmarkEnd w:id="86"/>
          </w:p>
        </w:tc>
      </w:tr>
      <w:tr>
        <w:trPr/>
        <w:tc>
          <w:tcPr>
            <w:tcW w:w="770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(277,823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pPr>
            <w:r>
              <w:rPr/>
              <w:t>(253,506</w:t>
            </w:r>
          </w:p>
        </w:tc>
        <w:tc>
          <w:tcPr>
            <w:tcW w:w="111" w:type="dxa"/>
            <w:tcBorders/>
            <w:shd w:fill="FFFFFF" w:val="clear"/>
            <w:vAlign w:val="center"/>
          </w:tcPr>
          <w:p>
            <w:pPr>
              <w:pStyle w:val="TableContents"/>
              <w:bidi w:val="0"/>
              <w:spacing w:before="0" w:after="283"/>
              <w:jc w:val="left"/>
              <w:rPr/>
            </w:pPr>
            <w:r>
              <w:rPr/>
              <w:t>)</w:t>
            </w:r>
            <w:bookmarkStart w:id="87" w:name="xdx_404_eus-gaap--StockholdersEquity_i02"/>
            <w:bookmarkEnd w:id="87"/>
          </w:p>
        </w:tc>
      </w:tr>
      <w:tr>
        <w:trPr/>
        <w:tc>
          <w:tcPr>
            <w:tcW w:w="7707"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20,243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pPr>
            <w:r>
              <w:rPr/>
              <w:t>36,086</w:t>
            </w:r>
          </w:p>
        </w:tc>
        <w:tc>
          <w:tcPr>
            <w:tcW w:w="111" w:type="dxa"/>
            <w:tcBorders/>
            <w:shd w:fill="CCEEFF" w:val="clear"/>
            <w:vAlign w:val="center"/>
          </w:tcPr>
          <w:p>
            <w:pPr>
              <w:pStyle w:val="TableContents"/>
              <w:bidi w:val="0"/>
              <w:spacing w:before="0" w:after="283"/>
              <w:jc w:val="left"/>
              <w:rPr/>
            </w:pPr>
            <w:r>
              <w:rPr/>
              <w:t> </w:t>
            </w:r>
            <w:bookmarkStart w:id="88" w:name="xdx_404_eus-gaap--LiabilitiesAndStockhol"/>
            <w:bookmarkEnd w:id="88"/>
          </w:p>
        </w:tc>
      </w:tr>
      <w:tr>
        <w:trPr/>
        <w:tc>
          <w:tcPr>
            <w:tcW w:w="7707"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33,342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jc w:val="right"/>
              <w:rPr/>
            </w:pPr>
            <w:r>
              <w:rPr/>
              <w:t>46,807</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89" w:name="xdx_F07_zzZQDVUgUrl8"/>
            <w:bookmarkEnd w:id="89"/>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90" w:name="xdx_F1D_zpe2notPz2fe"/>
            <w:bookmarkEnd w:id="90"/>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F_002"/>
      <w:bookmarkEnd w:id="91"/>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6_113_pn3n3_z81KoiiydzIc"/>
      <w:bookmarkStart w:id="93" w:name="xdx_306_113_pn3n3_z81KoiiydzIc"/>
      <w:bookmarkEnd w:id="93"/>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E_20250401__20250630_z77Xc1NTMcS7"/>
            <w:bookmarkEnd w:id="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A_20240401__20240630_zvBdkqXerUMa"/>
            <w:bookmarkEnd w:id="9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C_20250101__20250630_zZM4p0A8vsP8"/>
            <w:bookmarkEnd w:id="96"/>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 w:name="xdx_499_20240101__20240630_zHWymy2EtIu4"/>
            <w:bookmarkEnd w:id="9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98" w:name="xdx_405_eus-gaap--RevenueFromContractWit"/>
            <w:bookmarkEnd w:id="98"/>
          </w:p>
        </w:tc>
      </w:tr>
      <w:tr>
        <w:trPr/>
        <w:tc>
          <w:tcPr>
            <w:tcW w:w="46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3,250</w:t>
            </w:r>
          </w:p>
        </w:tc>
        <w:tc>
          <w:tcPr>
            <w:tcW w:w="110" w:type="dxa"/>
            <w:tcBorders/>
            <w:shd w:fill="CCEEFF" w:val="clear"/>
            <w:vAlign w:val="center"/>
          </w:tcPr>
          <w:p>
            <w:pPr>
              <w:pStyle w:val="TableContents"/>
              <w:bidi w:val="0"/>
              <w:spacing w:before="0" w:after="283"/>
              <w:jc w:val="left"/>
              <w:rPr/>
            </w:pPr>
            <w:r>
              <w:rPr/>
              <w:t> </w:t>
            </w:r>
            <w:bookmarkStart w:id="99" w:name="xdx_40E_eus-gaap--CostOfGoodsAndServices"/>
            <w:bookmarkEnd w:id="99"/>
          </w:p>
        </w:tc>
      </w:tr>
      <w:tr>
        <w:trPr/>
        <w:tc>
          <w:tcPr>
            <w:tcW w:w="461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2,627</w:t>
            </w:r>
          </w:p>
        </w:tc>
        <w:tc>
          <w:tcPr>
            <w:tcW w:w="110" w:type="dxa"/>
            <w:tcBorders/>
            <w:shd w:fill="FFFFFF" w:val="clear"/>
            <w:vAlign w:val="center"/>
          </w:tcPr>
          <w:p>
            <w:pPr>
              <w:pStyle w:val="TableContents"/>
              <w:bidi w:val="0"/>
              <w:spacing w:before="0" w:after="283"/>
              <w:jc w:val="left"/>
              <w:rPr/>
            </w:pPr>
            <w:r>
              <w:rPr/>
              <w:t> </w:t>
            </w:r>
            <w:bookmarkStart w:id="100" w:name="xdx_403_eus-gaap--GrossProfit_iT_mtCzEhV"/>
            <w:bookmarkEnd w:id="100"/>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623</w:t>
            </w:r>
          </w:p>
        </w:tc>
        <w:tc>
          <w:tcPr>
            <w:tcW w:w="110" w:type="dxa"/>
            <w:tcBorders/>
            <w:shd w:fill="CCEEFF" w:val="clear"/>
            <w:vAlign w:val="center"/>
          </w:tcPr>
          <w:p>
            <w:pPr>
              <w:pStyle w:val="TableContents"/>
              <w:bidi w:val="0"/>
              <w:spacing w:before="0" w:after="283"/>
              <w:jc w:val="left"/>
              <w:rPr/>
            </w:pPr>
            <w:r>
              <w:rPr/>
              <w:t> </w:t>
            </w:r>
            <w:bookmarkStart w:id="101" w:name="xdx_40F_eus-gaap--OperatingExpensesAbstr"/>
            <w:bookmarkEnd w:id="101"/>
          </w:p>
        </w:tc>
      </w:tr>
      <w:tr>
        <w:trPr/>
        <w:tc>
          <w:tcPr>
            <w:tcW w:w="46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2" w:name="xdx_40D_eus-gaap--ResearchAndDevelopment"/>
            <w:bookmarkEnd w:id="102"/>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6,026</w:t>
            </w:r>
          </w:p>
        </w:tc>
        <w:tc>
          <w:tcPr>
            <w:tcW w:w="110" w:type="dxa"/>
            <w:tcBorders/>
            <w:shd w:fill="CCEEFF" w:val="clear"/>
            <w:vAlign w:val="center"/>
          </w:tcPr>
          <w:p>
            <w:pPr>
              <w:pStyle w:val="TableContents"/>
              <w:bidi w:val="0"/>
              <w:spacing w:before="0" w:after="283"/>
              <w:jc w:val="left"/>
              <w:rPr/>
            </w:pPr>
            <w:r>
              <w:rPr/>
              <w:t> </w:t>
            </w:r>
            <w:bookmarkStart w:id="103" w:name="xdx_401_eus-gaap--SellingAndMarketingExp"/>
            <w:bookmarkEnd w:id="103"/>
          </w:p>
        </w:tc>
      </w:tr>
      <w:tr>
        <w:trPr/>
        <w:tc>
          <w:tcPr>
            <w:tcW w:w="46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2,682</w:t>
            </w:r>
          </w:p>
        </w:tc>
        <w:tc>
          <w:tcPr>
            <w:tcW w:w="110" w:type="dxa"/>
            <w:tcBorders/>
            <w:shd w:fill="FFFFFF" w:val="clear"/>
            <w:vAlign w:val="center"/>
          </w:tcPr>
          <w:p>
            <w:pPr>
              <w:pStyle w:val="TableContents"/>
              <w:bidi w:val="0"/>
              <w:spacing w:before="0" w:after="283"/>
              <w:jc w:val="left"/>
              <w:rPr/>
            </w:pPr>
            <w:r>
              <w:rPr/>
              <w:t> </w:t>
            </w:r>
            <w:bookmarkStart w:id="104" w:name="xdx_403_eus-gaap--GeneralAndAdministrati"/>
            <w:bookmarkEnd w:id="104"/>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7,589</w:t>
            </w:r>
          </w:p>
        </w:tc>
        <w:tc>
          <w:tcPr>
            <w:tcW w:w="110" w:type="dxa"/>
            <w:tcBorders/>
            <w:shd w:fill="CCEEFF" w:val="clear"/>
            <w:vAlign w:val="center"/>
          </w:tcPr>
          <w:p>
            <w:pPr>
              <w:pStyle w:val="TableContents"/>
              <w:bidi w:val="0"/>
              <w:spacing w:before="0" w:after="283"/>
              <w:jc w:val="left"/>
              <w:rPr/>
            </w:pPr>
            <w:r>
              <w:rPr/>
              <w:t> </w:t>
            </w:r>
            <w:bookmarkStart w:id="105" w:name="xdx_40A_eus-gaap--OperatingExpenses_i01T"/>
            <w:bookmarkEnd w:id="105"/>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25,084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16,297</w:t>
            </w:r>
          </w:p>
        </w:tc>
        <w:tc>
          <w:tcPr>
            <w:tcW w:w="110" w:type="dxa"/>
            <w:tcBorders/>
            <w:shd w:fill="FFFFFF" w:val="clear"/>
            <w:vAlign w:val="center"/>
          </w:tcPr>
          <w:p>
            <w:pPr>
              <w:pStyle w:val="TableContents"/>
              <w:bidi w:val="0"/>
              <w:spacing w:before="0" w:after="283"/>
              <w:jc w:val="left"/>
              <w:rPr/>
            </w:pPr>
            <w:r>
              <w:rPr/>
              <w:t> </w:t>
            </w:r>
            <w:bookmarkStart w:id="106" w:name="xdx_408_eus-gaap--OperatingIncomeLoss_iT"/>
            <w:bookmarkEnd w:id="106"/>
          </w:p>
        </w:tc>
      </w:tr>
      <w:tr>
        <w:trPr/>
        <w:tc>
          <w:tcPr>
            <w:tcW w:w="46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(15,674</w:t>
            </w:r>
          </w:p>
        </w:tc>
        <w:tc>
          <w:tcPr>
            <w:tcW w:w="110" w:type="dxa"/>
            <w:tcBorders/>
            <w:shd w:fill="CCEEFF" w:val="clear"/>
            <w:vAlign w:val="center"/>
          </w:tcPr>
          <w:p>
            <w:pPr>
              <w:pStyle w:val="TableContents"/>
              <w:bidi w:val="0"/>
              <w:spacing w:before="0" w:after="283"/>
              <w:jc w:val="left"/>
              <w:rPr/>
            </w:pPr>
            <w:r>
              <w:rPr/>
              <w:t>)</w:t>
            </w:r>
            <w:bookmarkStart w:id="107" w:name="xdx_402_eus-gaap--NonoperatingIncomeExpe"/>
            <w:bookmarkEnd w:id="107"/>
          </w:p>
        </w:tc>
      </w:tr>
      <w:tr>
        <w:trPr/>
        <w:tc>
          <w:tcPr>
            <w:tcW w:w="4610" w:type="dxa"/>
            <w:tcBorders/>
            <w:shd w:fill="FFFFFF" w:val="clear"/>
            <w:vAlign w:val="center"/>
          </w:tcPr>
          <w:p>
            <w:pPr>
              <w:pStyle w:val="TableContents"/>
              <w:bidi w:val="0"/>
              <w:spacing w:before="0" w:after="283"/>
              <w:jc w:val="left"/>
              <w:rPr>
                <w:b/>
              </w:rPr>
            </w:pPr>
            <w:r>
              <w:rPr>
                <w:b/>
              </w:rPr>
              <w:t>FINANCIAL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733</w:t>
            </w:r>
          </w:p>
        </w:tc>
        <w:tc>
          <w:tcPr>
            <w:tcW w:w="110" w:type="dxa"/>
            <w:tcBorders/>
            <w:shd w:fill="FFFFFF" w:val="clear"/>
            <w:vAlign w:val="center"/>
          </w:tcPr>
          <w:p>
            <w:pPr>
              <w:pStyle w:val="TableContents"/>
              <w:bidi w:val="0"/>
              <w:spacing w:before="0" w:after="283"/>
              <w:jc w:val="left"/>
              <w:rPr/>
            </w:pPr>
            <w:r>
              <w:rPr/>
              <w:t> </w:t>
            </w:r>
            <w:bookmarkStart w:id="108" w:name="xdx_40D_eus-gaap--NetIncomeLoss_iT_mtNIL"/>
            <w:bookmarkEnd w:id="108"/>
          </w:p>
        </w:tc>
      </w:tr>
      <w:tr>
        <w:trPr/>
        <w:tc>
          <w:tcPr>
            <w:tcW w:w="46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(14,941</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9" w:name="xdx_901_eus-gaap--EarningsPerShareDilute"/>
            <w:bookmarkStart w:id="110" w:name="xdx_90C_eus-gaap--EarningsPerShareBasic_"/>
            <w:bookmarkEnd w:id="109"/>
            <w:bookmarkEnd w:id="110"/>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1" w:name="xdx_904_eus-gaap--EarningsPerShareDilute"/>
            <w:bookmarkStart w:id="112" w:name="xdx_909_eus-gaap--EarningsPerShareBasic_"/>
            <w:bookmarkEnd w:id="111"/>
            <w:bookmarkEnd w:id="112"/>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3" w:name="xdx_902_eus-gaap--EarningsPerShareDilute"/>
            <w:bookmarkStart w:id="114" w:name="xdx_905_eus-gaap--EarningsPerShareBasic_"/>
            <w:bookmarkEnd w:id="113"/>
            <w:bookmarkEnd w:id="114"/>
            <w:r>
              <w:rPr/>
              <w:t>(0.48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5" w:name="xdx_906_eus-gaap--EarningsPerShareDilute"/>
            <w:bookmarkStart w:id="116" w:name="xdx_90D_eus-gaap--EarningsPerShareBasic_"/>
            <w:bookmarkEnd w:id="115"/>
            <w:bookmarkEnd w:id="116"/>
            <w:r>
              <w:rPr/>
              <w:t>(0.43</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WEIGHTED AVERAGE NUMBER OF ORDINARY SHARES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1_eus-gaap--WeightedAverageNumberO"/>
            <w:bookmarkStart w:id="118" w:name="xdx_90A_eus-gaap--WeightedAverageNumberO"/>
            <w:bookmarkEnd w:id="117"/>
            <w:bookmarkEnd w:id="118"/>
            <w:r>
              <w:rPr/>
              <w:t>51,003,900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0_eus-gaap--WeightedAverageNumberO"/>
            <w:bookmarkStart w:id="120" w:name="xdx_908_eus-gaap--WeightedAverageNumberO"/>
            <w:bookmarkEnd w:id="119"/>
            <w:bookmarkEnd w:id="120"/>
            <w:r>
              <w:rPr/>
              <w:t>35,877,926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1" w:name="xdx_90B_eus-gaap--WeightedAverageNumberO"/>
            <w:bookmarkStart w:id="122" w:name="xdx_90F_eus-gaap--WeightedAverageNumberO"/>
            <w:bookmarkEnd w:id="121"/>
            <w:bookmarkEnd w:id="122"/>
            <w:r>
              <w:rPr/>
              <w:t>50,508,660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3" w:name="xdx_906_eus-gaap--WeightedAverageNumberO"/>
            <w:bookmarkStart w:id="124" w:name="xdx_907_eus-gaap--WeightedAverageNumberO"/>
            <w:bookmarkEnd w:id="123"/>
            <w:bookmarkEnd w:id="124"/>
            <w:r>
              <w:rPr/>
              <w:t>35,060,450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5" w:name="F_003"/>
      <w:bookmarkEnd w:id="125"/>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6" w:name="xdx_30E_114_pn3n3_zRLULZrEGvc2"/>
      <w:bookmarkStart w:id="127" w:name="xdx_30E_114_pn3n3_zRLULZrEGvc2"/>
      <w:bookmarkEnd w:id="127"/>
    </w:p>
    <w:tbl>
      <w:tblPr>
        <w:tblW w:w="10205" w:type="dxa"/>
        <w:jc w:val="left"/>
        <w:tblInd w:w="0" w:type="dxa"/>
        <w:tblLayout w:type="fixed"/>
        <w:tblCellMar>
          <w:top w:w="0" w:type="dxa"/>
          <w:left w:w="0" w:type="dxa"/>
          <w:bottom w:w="0" w:type="dxa"/>
          <w:right w:w="0" w:type="dxa"/>
        </w:tblCellMar>
      </w:tblPr>
      <w:tblGrid>
        <w:gridCol w:w="2332"/>
        <w:gridCol w:w="60"/>
        <w:gridCol w:w="60"/>
        <w:gridCol w:w="1100"/>
        <w:gridCol w:w="60"/>
        <w:gridCol w:w="60"/>
        <w:gridCol w:w="258"/>
        <w:gridCol w:w="602"/>
        <w:gridCol w:w="60"/>
        <w:gridCol w:w="60"/>
        <w:gridCol w:w="68"/>
        <w:gridCol w:w="648"/>
        <w:gridCol w:w="60"/>
        <w:gridCol w:w="60"/>
        <w:gridCol w:w="280"/>
        <w:gridCol w:w="588"/>
        <w:gridCol w:w="60"/>
        <w:gridCol w:w="60"/>
        <w:gridCol w:w="79"/>
        <w:gridCol w:w="1074"/>
        <w:gridCol w:w="60"/>
        <w:gridCol w:w="60"/>
        <w:gridCol w:w="87"/>
        <w:gridCol w:w="1283"/>
        <w:gridCol w:w="95"/>
        <w:gridCol w:w="60"/>
        <w:gridCol w:w="60"/>
        <w:gridCol w:w="755"/>
        <w:gridCol w:w="116"/>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8" w:name="xdx_4B9_us-gaap--StatementEquityComponen"/>
            <w:bookmarkEnd w:id="12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9" w:name="xdx_4B6_us-gaap--StatementEquityComponen"/>
            <w:bookmarkEnd w:id="129"/>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0" w:name="xdx_4BE_us-gaap--StatementEquityComponen"/>
            <w:bookmarkEnd w:id="130"/>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1" w:name="xdx_4B1_us-gaap--StatementEquityComponen"/>
            <w:bookmarkEnd w:id="131"/>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32" w:name="xdx_4B7_zXXp1bggDRRl"/>
            <w:bookmarkEnd w:id="132"/>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center"/>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b/>
              </w:rPr>
            </w:pPr>
            <w:r>
              <w:rPr>
                <w:b/>
              </w:rPr>
              <w:t>Total</w:t>
            </w:r>
          </w:p>
        </w:tc>
        <w:tc>
          <w:tcPr>
            <w:tcW w:w="116" w:type="dxa"/>
            <w:tcBorders/>
            <w:vAlign w:val="center"/>
          </w:tcPr>
          <w:p>
            <w:pPr>
              <w:pStyle w:val="TableContents"/>
              <w:bidi w:val="0"/>
              <w:spacing w:before="0" w:after="283"/>
              <w:jc w:val="center"/>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6" w:type="dxa"/>
            <w:tcBorders/>
            <w:vAlign w:val="center"/>
          </w:tcPr>
          <w:p>
            <w:pPr>
              <w:pStyle w:val="TableContents"/>
              <w:bidi w:val="0"/>
              <w:spacing w:before="0" w:after="283"/>
              <w:jc w:val="center"/>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bookmarkStart w:id="133" w:name="xdx_436_c20240101__20240630_eus-gaap--St"/>
            <w:bookmarkEnd w:id="133"/>
          </w:p>
        </w:tc>
      </w:tr>
      <w:tr>
        <w:trPr/>
        <w:tc>
          <w:tcPr>
            <w:tcW w:w="2332"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4" w:name="xdx_98D_eus-gaap--SharesOutstanding_iS_p"/>
            <w:bookmarkEnd w:id="134"/>
          </w:p>
        </w:tc>
        <w:tc>
          <w:tcPr>
            <w:tcW w:w="1100" w:type="dxa"/>
            <w:tcBorders/>
            <w:shd w:fill="CCEEFF" w:val="clear"/>
            <w:vAlign w:val="center"/>
          </w:tcPr>
          <w:p>
            <w:pPr>
              <w:pStyle w:val="TableContents"/>
              <w:bidi w:val="0"/>
              <w:spacing w:before="0" w:after="283"/>
              <w:jc w:val="right"/>
              <w:rPr>
                <w:b/>
              </w:rPr>
            </w:pPr>
            <w:r>
              <w:rPr>
                <w:b/>
              </w:rPr>
              <w:t>21,841,215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5" w:name="xdx_98A_eus-gaap--SharesOutstanding_iS_p"/>
            <w:bookmarkEnd w:id="135"/>
          </w:p>
        </w:tc>
        <w:tc>
          <w:tcPr>
            <w:tcW w:w="648"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36" w:name="xdx_F2A_zKNTnUiwdYFe"/>
            <w:bookmarkEnd w:id="136"/>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261,000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(221,501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39,501</w:t>
            </w:r>
          </w:p>
        </w:tc>
        <w:tc>
          <w:tcPr>
            <w:tcW w:w="116" w:type="dxa"/>
            <w:tcBorders/>
            <w:shd w:fill="CCEEFF" w:val="clear"/>
            <w:vAlign w:val="center"/>
          </w:tcPr>
          <w:p>
            <w:pPr>
              <w:pStyle w:val="TableContents"/>
              <w:bidi w:val="0"/>
              <w:spacing w:before="0" w:after="283"/>
              <w:jc w:val="left"/>
              <w:rPr/>
            </w:pPr>
            <w:r>
              <w:rPr/>
              <w:t> </w:t>
            </w:r>
            <w:bookmarkStart w:id="137" w:name="xdx_40B_eus-gaap--NetIncomeLoss_zqXBxLGp"/>
            <w:bookmarkEnd w:id="137"/>
          </w:p>
        </w:tc>
      </w:tr>
      <w:tr>
        <w:trPr/>
        <w:tc>
          <w:tcPr>
            <w:tcW w:w="233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(14,941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(14,941</w:t>
            </w:r>
          </w:p>
        </w:tc>
        <w:tc>
          <w:tcPr>
            <w:tcW w:w="116" w:type="dxa"/>
            <w:tcBorders/>
            <w:shd w:fill="FFFFFF" w:val="clear"/>
            <w:vAlign w:val="center"/>
          </w:tcPr>
          <w:p>
            <w:pPr>
              <w:pStyle w:val="TableContents"/>
              <w:bidi w:val="0"/>
              <w:spacing w:before="0" w:after="283"/>
              <w:jc w:val="left"/>
              <w:rPr>
                <w:b/>
              </w:rPr>
            </w:pPr>
            <w:r>
              <w:rPr>
                <w:b/>
              </w:rPr>
              <w:t>)</w:t>
            </w:r>
            <w:bookmarkStart w:id="138" w:name="xdx_406_ecustom--StockIssuedDuringPeriod"/>
            <w:bookmarkEnd w:id="138"/>
          </w:p>
        </w:tc>
      </w:tr>
      <w:tr>
        <w:trPr/>
        <w:tc>
          <w:tcPr>
            <w:tcW w:w="2332"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F_ecustom--StockIssuedDuringPeriod"/>
            <w:bookmarkEnd w:id="139"/>
          </w:p>
        </w:tc>
        <w:tc>
          <w:tcPr>
            <w:tcW w:w="1100" w:type="dxa"/>
            <w:tcBorders/>
            <w:shd w:fill="CCEEFF" w:val="clear"/>
            <w:vAlign w:val="center"/>
          </w:tcPr>
          <w:p>
            <w:pPr>
              <w:pStyle w:val="TableContents"/>
              <w:bidi w:val="0"/>
              <w:spacing w:before="0" w:after="283"/>
              <w:jc w:val="right"/>
              <w:rPr>
                <w:b/>
              </w:rPr>
            </w:pPr>
            <w:r>
              <w:rPr>
                <w:b/>
              </w:rPr>
              <w:t>1,528,390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0" w:name="xdx_F2C_z4ZW2ZXotkZ6"/>
            <w:bookmarkEnd w:id="140"/>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41" w:name="xdx_F25_zDiq8xjB4yd9"/>
            <w:bookmarkEnd w:id="141"/>
            <w:r>
              <w:rPr>
                <w:rFonts w:ascii="Times New Roman;Times;Serif" w:hAnsi="Times New Roman;Times;Serif"/>
                <w:b/>
                <w:sz w:val="20"/>
              </w:rPr>
              <w:t>*</w:t>
            </w:r>
          </w:p>
        </w:tc>
        <w:tc>
          <w:tcPr>
            <w:tcW w:w="116" w:type="dxa"/>
            <w:tcBorders/>
            <w:shd w:fill="CCEEFF" w:val="clear"/>
            <w:vAlign w:val="center"/>
          </w:tcPr>
          <w:p>
            <w:pPr>
              <w:pStyle w:val="TableContents"/>
              <w:bidi w:val="0"/>
              <w:spacing w:before="0" w:after="283"/>
              <w:jc w:val="left"/>
              <w:rPr/>
            </w:pPr>
            <w:r>
              <w:rPr/>
              <w:t> </w:t>
            </w:r>
            <w:bookmarkStart w:id="142" w:name="xdx_40B_ecustom--StockIssuedDuringPeriod"/>
            <w:bookmarkEnd w:id="142"/>
          </w:p>
        </w:tc>
      </w:tr>
      <w:tr>
        <w:trPr/>
        <w:tc>
          <w:tcPr>
            <w:tcW w:w="2332" w:type="dxa"/>
            <w:tcBorders/>
            <w:shd w:fill="FFFFFF" w:val="clear"/>
            <w:vAlign w:val="center"/>
          </w:tcPr>
          <w:p>
            <w:pPr>
              <w:pStyle w:val="TableContents"/>
              <w:bidi w:val="0"/>
              <w:spacing w:before="0" w:after="283"/>
              <w:jc w:val="left"/>
              <w:rPr>
                <w:b/>
              </w:rPr>
            </w:pPr>
            <w:r>
              <w:rPr>
                <w:b/>
              </w:rPr>
              <w:t xml:space="preserve">Exercise of Warrants Series H to </w:t>
            </w:r>
            <w:bookmarkStart w:id="143" w:name="xdx_90B_eus-gaap--ClassOfWarrantOrRightN"/>
            <w:bookmarkEnd w:id="143"/>
            <w:r>
              <w:rPr>
                <w:b/>
              </w:rPr>
              <w:t xml:space="preserve">12,621,090 pre-funded warrants and </w:t>
            </w:r>
            <w:bookmarkStart w:id="144" w:name="xdx_908_ecustom--StockIssuedDuringPeriod"/>
            <w:bookmarkEnd w:id="144"/>
            <w:r>
              <w:rPr>
                <w:b/>
              </w:rPr>
              <w:t>292,996 common stock, net of $</w:t>
            </w:r>
            <w:bookmarkStart w:id="145" w:name="xdx_901_eus-gaap--StockIssued1_pn3n3_c20"/>
            <w:bookmarkEnd w:id="145"/>
            <w:r>
              <w:rPr>
                <w:b/>
              </w:rPr>
              <w:t>1,000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98D_ecustom--StockIssuedDuringPeriod"/>
            <w:bookmarkEnd w:id="146"/>
          </w:p>
        </w:tc>
        <w:tc>
          <w:tcPr>
            <w:tcW w:w="1100" w:type="dxa"/>
            <w:tcBorders/>
            <w:shd w:fill="FFFFFF" w:val="clear"/>
            <w:vAlign w:val="center"/>
          </w:tcPr>
          <w:p>
            <w:pPr>
              <w:pStyle w:val="TableContents"/>
              <w:bidi w:val="0"/>
              <w:spacing w:before="0" w:after="283"/>
              <w:jc w:val="right"/>
              <w:rPr>
                <w:b/>
              </w:rPr>
            </w:pPr>
            <w:r>
              <w:rPr>
                <w:b/>
              </w:rPr>
              <w:t>292,996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16,854</w:t>
            </w:r>
          </w:p>
        </w:tc>
        <w:tc>
          <w:tcPr>
            <w:tcW w:w="116" w:type="dxa"/>
            <w:tcBorders/>
            <w:shd w:fill="FFFFFF" w:val="clear"/>
            <w:vAlign w:val="center"/>
          </w:tcPr>
          <w:p>
            <w:pPr>
              <w:pStyle w:val="TableContents"/>
              <w:bidi w:val="0"/>
              <w:spacing w:before="0" w:after="283"/>
              <w:jc w:val="left"/>
              <w:rPr/>
            </w:pPr>
            <w:r>
              <w:rPr/>
              <w:t> </w:t>
            </w:r>
            <w:bookmarkStart w:id="147" w:name="xdx_404_ecustom--SharebasedCompensationR"/>
            <w:bookmarkEnd w:id="147"/>
          </w:p>
        </w:tc>
      </w:tr>
      <w:tr>
        <w:trPr/>
        <w:tc>
          <w:tcPr>
            <w:tcW w:w="2332"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48" w:name="xdx_902_eus-gaap--StockIssuedDuringPerio"/>
            <w:bookmarkEnd w:id="148"/>
            <w:r>
              <w:rPr>
                <w:b/>
              </w:rPr>
              <w:t>112,382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7_ecustom--SharebasedCompensationR"/>
            <w:bookmarkEnd w:id="149"/>
          </w:p>
        </w:tc>
        <w:tc>
          <w:tcPr>
            <w:tcW w:w="1100" w:type="dxa"/>
            <w:tcBorders/>
            <w:shd w:fill="CCEEFF" w:val="clear"/>
            <w:vAlign w:val="center"/>
          </w:tcPr>
          <w:p>
            <w:pPr>
              <w:pStyle w:val="TableContents"/>
              <w:bidi w:val="0"/>
              <w:spacing w:before="0" w:after="283"/>
              <w:jc w:val="right"/>
              <w:rPr>
                <w:b/>
              </w:rPr>
            </w:pPr>
            <w:r>
              <w:rPr>
                <w:b/>
              </w:rPr>
              <w:t>1,533,878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50" w:name="xdx_F2A_ziSCdlIPD3Yb"/>
            <w:bookmarkEnd w:id="150"/>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b/>
              </w:rPr>
            </w:pPr>
            <w:r>
              <w:rPr>
                <w:b/>
              </w:rPr>
              <w:t>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5,349</w:t>
            </w:r>
          </w:p>
        </w:tc>
        <w:tc>
          <w:tcPr>
            <w:tcW w:w="116" w:type="dxa"/>
            <w:tcBorders/>
            <w:shd w:fill="CCEEFF" w:val="clear"/>
            <w:vAlign w:val="center"/>
          </w:tcPr>
          <w:p>
            <w:pPr>
              <w:pStyle w:val="TableContents"/>
              <w:bidi w:val="0"/>
              <w:spacing w:before="0" w:after="283"/>
              <w:jc w:val="left"/>
              <w:rPr/>
            </w:pPr>
            <w:r>
              <w:rPr/>
              <w:t> </w:t>
            </w:r>
            <w:bookmarkStart w:id="151" w:name="xdx_433_c20240101__20240630_eus-gaap--St"/>
            <w:bookmarkEnd w:id="151"/>
          </w:p>
        </w:tc>
      </w:tr>
      <w:tr>
        <w:trPr/>
        <w:tc>
          <w:tcPr>
            <w:tcW w:w="2332"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E_eus-gaap--SharesOutstanding_iE_p"/>
            <w:bookmarkEnd w:id="15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25,196,479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0_eus-gaap--SharesOutstanding_iE_p"/>
            <w:bookmarkEnd w:id="153"/>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54" w:name="xdx_F28_zRpqmSrlE9Q8"/>
            <w:bookmarkEnd w:id="154"/>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46,763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55" w:name="xdx_F07_z50q1tyFvOK6"/>
            <w:bookmarkEnd w:id="155"/>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56" w:name="xdx_F1F_zLPYhQWFCVZ7"/>
            <w:bookmarkEnd w:id="156"/>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4"/>
        <w:gridCol w:w="60"/>
        <w:gridCol w:w="60"/>
        <w:gridCol w:w="1100"/>
        <w:gridCol w:w="95"/>
        <w:gridCol w:w="60"/>
        <w:gridCol w:w="258"/>
        <w:gridCol w:w="602"/>
        <w:gridCol w:w="60"/>
        <w:gridCol w:w="60"/>
        <w:gridCol w:w="100"/>
        <w:gridCol w:w="647"/>
        <w:gridCol w:w="68"/>
        <w:gridCol w:w="68"/>
        <w:gridCol w:w="274"/>
        <w:gridCol w:w="586"/>
        <w:gridCol w:w="60"/>
        <w:gridCol w:w="60"/>
        <w:gridCol w:w="79"/>
        <w:gridCol w:w="1075"/>
        <w:gridCol w:w="60"/>
        <w:gridCol w:w="60"/>
        <w:gridCol w:w="87"/>
        <w:gridCol w:w="1283"/>
        <w:gridCol w:w="95"/>
        <w:gridCol w:w="60"/>
        <w:gridCol w:w="60"/>
        <w:gridCol w:w="680"/>
        <w:gridCol w:w="114"/>
      </w:tblGrid>
      <w:tr>
        <w:trPr/>
        <w:tc>
          <w:tcPr>
            <w:tcW w:w="23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4"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center"/>
              <w:rPr/>
            </w:pPr>
            <w:r>
              <w:rPr/>
              <w:t> </w:t>
            </w:r>
          </w:p>
        </w:tc>
      </w:tr>
      <w:tr>
        <w:trPr/>
        <w:tc>
          <w:tcPr>
            <w:tcW w:w="23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center"/>
              <w:rPr/>
            </w:pPr>
            <w:r>
              <w:rPr/>
              <w:t> </w:t>
            </w:r>
          </w:p>
        </w:tc>
      </w:tr>
      <w:tr>
        <w:trPr/>
        <w:tc>
          <w:tcPr>
            <w:tcW w:w="23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7"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bookmarkStart w:id="157" w:name="xdx_439_c20240401__20240630_eus-gaap--St"/>
            <w:bookmarkEnd w:id="157"/>
          </w:p>
        </w:tc>
      </w:tr>
      <w:tr>
        <w:trPr/>
        <w:tc>
          <w:tcPr>
            <w:tcW w:w="2334"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4_eus-gaap--SharesOutstanding_iS_p"/>
            <w:bookmarkEnd w:id="158"/>
          </w:p>
        </w:tc>
        <w:tc>
          <w:tcPr>
            <w:tcW w:w="1100" w:type="dxa"/>
            <w:tcBorders/>
            <w:shd w:fill="CCEEFF" w:val="clear"/>
            <w:vAlign w:val="center"/>
          </w:tcPr>
          <w:p>
            <w:pPr>
              <w:pStyle w:val="TableContents"/>
              <w:bidi w:val="0"/>
              <w:spacing w:before="0" w:after="283"/>
              <w:jc w:val="right"/>
              <w:rPr>
                <w:b/>
              </w:rPr>
            </w:pPr>
            <w:r>
              <w:rPr>
                <w:b/>
              </w:rPr>
              <w:t>23,412,385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159" w:name="xdx_98E_eus-gaap--SharesOutstanding_iS_p"/>
            <w:bookmarkEnd w:id="159"/>
          </w:p>
        </w:tc>
        <w:tc>
          <w:tcPr>
            <w:tcW w:w="647" w:type="dxa"/>
            <w:tcBorders/>
            <w:shd w:fill="CCEEFF" w:val="cle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0" w:name="xdx_F20_ztUQXqYUsYgg"/>
            <w:bookmarkEnd w:id="160"/>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263,618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(228,533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35,087</w:t>
            </w:r>
          </w:p>
        </w:tc>
        <w:tc>
          <w:tcPr>
            <w:tcW w:w="114" w:type="dxa"/>
            <w:tcBorders/>
            <w:shd w:fill="CCEEFF" w:val="clear"/>
            <w:vAlign w:val="center"/>
          </w:tcPr>
          <w:p>
            <w:pPr>
              <w:pStyle w:val="TableContents"/>
              <w:bidi w:val="0"/>
              <w:spacing w:before="0" w:after="283"/>
              <w:jc w:val="left"/>
              <w:rPr/>
            </w:pPr>
            <w:r>
              <w:rPr/>
              <w:t> </w:t>
            </w:r>
            <w:bookmarkStart w:id="161" w:name="xdx_40B_eus-gaap--NetIncomeLoss_zXYplXN8"/>
            <w:bookmarkEnd w:id="161"/>
          </w:p>
        </w:tc>
      </w:tr>
      <w:tr>
        <w:trPr/>
        <w:tc>
          <w:tcPr>
            <w:tcW w:w="233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(7,909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(7,909</w:t>
            </w:r>
          </w:p>
        </w:tc>
        <w:tc>
          <w:tcPr>
            <w:tcW w:w="114" w:type="dxa"/>
            <w:tcBorders/>
            <w:shd w:fill="FFFFFF" w:val="clear"/>
            <w:vAlign w:val="center"/>
          </w:tcPr>
          <w:p>
            <w:pPr>
              <w:pStyle w:val="TableContents"/>
              <w:bidi w:val="0"/>
              <w:spacing w:before="0" w:after="283"/>
              <w:jc w:val="left"/>
              <w:rPr>
                <w:b/>
              </w:rPr>
            </w:pPr>
            <w:r>
              <w:rPr>
                <w:b/>
              </w:rPr>
              <w:t>)</w:t>
            </w:r>
            <w:bookmarkStart w:id="162" w:name="xdx_406_ecustom--StockIssuedDuringPeriod"/>
            <w:bookmarkEnd w:id="162"/>
          </w:p>
        </w:tc>
      </w:tr>
      <w:tr>
        <w:trPr/>
        <w:tc>
          <w:tcPr>
            <w:tcW w:w="2334"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8_ecustom--StockIssuedDuringPeriod"/>
            <w:bookmarkEnd w:id="163"/>
          </w:p>
        </w:tc>
        <w:tc>
          <w:tcPr>
            <w:tcW w:w="1100" w:type="dxa"/>
            <w:tcBorders/>
            <w:shd w:fill="CCEEFF" w:val="clear"/>
            <w:vAlign w:val="center"/>
          </w:tcPr>
          <w:p>
            <w:pPr>
              <w:pStyle w:val="TableContents"/>
              <w:bidi w:val="0"/>
              <w:spacing w:before="0" w:after="283"/>
              <w:jc w:val="right"/>
              <w:rPr>
                <w:b/>
              </w:rPr>
            </w:pPr>
            <w:r>
              <w:rPr>
                <w:b/>
              </w:rPr>
              <w:t>1,528,390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4" w:name="xdx_F2D_zUNpkNnMSzqj"/>
            <w:bookmarkEnd w:id="164"/>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65" w:name="xdx_F21_zle54MduQfrf"/>
            <w:bookmarkEnd w:id="165"/>
            <w:r>
              <w:rPr>
                <w:rFonts w:ascii="Times New Roman;Times;Serif" w:hAnsi="Times New Roman;Times;Serif"/>
                <w:b/>
                <w:sz w:val="20"/>
              </w:rPr>
              <w:t>*</w:t>
            </w:r>
          </w:p>
        </w:tc>
        <w:tc>
          <w:tcPr>
            <w:tcW w:w="114" w:type="dxa"/>
            <w:tcBorders/>
            <w:shd w:fill="CCEEFF" w:val="clear"/>
            <w:vAlign w:val="center"/>
          </w:tcPr>
          <w:p>
            <w:pPr>
              <w:pStyle w:val="TableContents"/>
              <w:bidi w:val="0"/>
              <w:spacing w:before="0" w:after="283"/>
              <w:jc w:val="left"/>
              <w:rPr/>
            </w:pPr>
            <w:r>
              <w:rPr/>
              <w:t> </w:t>
            </w:r>
            <w:bookmarkStart w:id="166" w:name="xdx_405_ecustom--StockIssuedDuringPeriod"/>
            <w:bookmarkEnd w:id="166"/>
          </w:p>
        </w:tc>
      </w:tr>
      <w:tr>
        <w:trPr/>
        <w:tc>
          <w:tcPr>
            <w:tcW w:w="2334" w:type="dxa"/>
            <w:tcBorders/>
            <w:shd w:fill="FFFFFF" w:val="clear"/>
            <w:vAlign w:val="center"/>
          </w:tcPr>
          <w:p>
            <w:pPr>
              <w:pStyle w:val="TableContents"/>
              <w:bidi w:val="0"/>
              <w:spacing w:before="0" w:after="283"/>
              <w:jc w:val="left"/>
              <w:rPr>
                <w:b/>
              </w:rPr>
            </w:pPr>
            <w:r>
              <w:rPr>
                <w:b/>
              </w:rPr>
              <w:t xml:space="preserve">Exercise of Warrants Series H to </w:t>
            </w:r>
            <w:bookmarkStart w:id="167" w:name="xdx_904_eus-gaap--ClassOfWarrantOrRightN"/>
            <w:bookmarkEnd w:id="167"/>
            <w:r>
              <w:rPr>
                <w:b/>
              </w:rPr>
              <w:t xml:space="preserve">12,621,090 pre-funded warrants and </w:t>
            </w:r>
            <w:bookmarkStart w:id="168" w:name="xdx_90A_ecustom--StockIssuedDuringPeriod"/>
            <w:bookmarkEnd w:id="168"/>
            <w:r>
              <w:rPr>
                <w:b/>
              </w:rPr>
              <w:t>292,996 common stock, net of $</w:t>
            </w:r>
            <w:bookmarkStart w:id="169" w:name="xdx_908_eus-gaap--StockIssued1_pn3n3_c20"/>
            <w:bookmarkEnd w:id="169"/>
            <w:r>
              <w:rPr>
                <w:b/>
              </w:rPr>
              <w:t>1,000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D_ecustom--StockIssuedDuringPeriod"/>
            <w:bookmarkEnd w:id="170"/>
          </w:p>
        </w:tc>
        <w:tc>
          <w:tcPr>
            <w:tcW w:w="1100" w:type="dxa"/>
            <w:tcBorders/>
            <w:shd w:fill="FFFFFF" w:val="clear"/>
            <w:vAlign w:val="center"/>
          </w:tcPr>
          <w:p>
            <w:pPr>
              <w:pStyle w:val="TableContents"/>
              <w:bidi w:val="0"/>
              <w:spacing w:before="0" w:after="283"/>
              <w:jc w:val="right"/>
              <w:rPr>
                <w:b/>
              </w:rPr>
            </w:pPr>
            <w:r>
              <w:rPr>
                <w:b/>
              </w:rPr>
              <w:t>292,996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16,854</w:t>
            </w:r>
          </w:p>
        </w:tc>
        <w:tc>
          <w:tcPr>
            <w:tcW w:w="114" w:type="dxa"/>
            <w:tcBorders/>
            <w:shd w:fill="FFFFFF" w:val="clear"/>
            <w:vAlign w:val="center"/>
          </w:tcPr>
          <w:p>
            <w:pPr>
              <w:pStyle w:val="TableContents"/>
              <w:bidi w:val="0"/>
              <w:spacing w:before="0" w:after="283"/>
              <w:jc w:val="left"/>
              <w:rPr/>
            </w:pPr>
            <w:r>
              <w:rPr/>
              <w:t> </w:t>
            </w:r>
            <w:bookmarkStart w:id="171" w:name="xdx_404_ecustom--SharebasedCompensationR"/>
            <w:bookmarkEnd w:id="171"/>
          </w:p>
        </w:tc>
      </w:tr>
      <w:tr>
        <w:trPr/>
        <w:tc>
          <w:tcPr>
            <w:tcW w:w="2334"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72" w:name="xdx_905_eus-gaap--StockIssuedDuringPerio"/>
            <w:bookmarkEnd w:id="172"/>
            <w:r>
              <w:rPr>
                <w:b/>
              </w:rPr>
              <w:t>37,292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981_ecustom--SharebasedCompensationR"/>
            <w:bookmarkEnd w:id="173"/>
          </w:p>
        </w:tc>
        <w:tc>
          <w:tcPr>
            <w:tcW w:w="1100" w:type="dxa"/>
            <w:tcBorders/>
            <w:shd w:fill="CCEEFF" w:val="clear"/>
            <w:vAlign w:val="center"/>
          </w:tcPr>
          <w:p>
            <w:pPr>
              <w:pStyle w:val="TableContents"/>
              <w:bidi w:val="0"/>
              <w:spacing w:before="0" w:after="283"/>
              <w:jc w:val="right"/>
              <w:rPr>
                <w:b/>
              </w:rPr>
            </w:pPr>
            <w:r>
              <w:rPr>
                <w:b/>
              </w:rPr>
              <w:t>(37,292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74" w:name="xdx_F2D_zwCB9rfOV9C"/>
            <w:bookmarkEnd w:id="174"/>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b/>
              </w:rPr>
            </w:pPr>
            <w:r>
              <w:rPr>
                <w:b/>
              </w:rPr>
              <w:t>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2,731</w:t>
            </w:r>
          </w:p>
        </w:tc>
        <w:tc>
          <w:tcPr>
            <w:tcW w:w="114" w:type="dxa"/>
            <w:tcBorders/>
            <w:shd w:fill="CCEEFF" w:val="clear"/>
            <w:vAlign w:val="center"/>
          </w:tcPr>
          <w:p>
            <w:pPr>
              <w:pStyle w:val="TableContents"/>
              <w:bidi w:val="0"/>
              <w:spacing w:before="0" w:after="283"/>
              <w:jc w:val="left"/>
              <w:rPr/>
            </w:pPr>
            <w:r>
              <w:rPr/>
              <w:t> </w:t>
            </w:r>
            <w:bookmarkStart w:id="175" w:name="xdx_43C_c20240401__20240630_eus-gaap--St"/>
            <w:bookmarkEnd w:id="175"/>
          </w:p>
        </w:tc>
      </w:tr>
      <w:tr>
        <w:trPr/>
        <w:tc>
          <w:tcPr>
            <w:tcW w:w="2334"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6" w:name="xdx_98A_eus-gaap--SharesOutstanding_iE_p"/>
            <w:bookmarkEnd w:id="17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25,196,479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7" w:name="xdx_982_eus-gaap--SharesOutstanding_iE_p"/>
            <w:bookmarkEnd w:id="177"/>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78" w:name="xdx_F28_z0diwih3jlH3"/>
            <w:bookmarkEnd w:id="178"/>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46,763</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79" w:name="xdx_F0A_z9djG31BEoDe"/>
            <w:bookmarkEnd w:id="179"/>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80" w:name="xdx_F10_zjU0yXhEURFh"/>
            <w:bookmarkEnd w:id="180"/>
            <w:r>
              <w:rPr>
                <w:rFonts w:ascii="Times New Roman;Times;Serif" w:hAnsi="Times New Roman;Times;Serif"/>
                <w:sz w:val="20"/>
              </w:rPr>
              <w:t>Represents an amount less than $1 thousand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8"/>
        <w:gridCol w:w="60"/>
        <w:gridCol w:w="60"/>
        <w:gridCol w:w="1101"/>
        <w:gridCol w:w="60"/>
        <w:gridCol w:w="60"/>
        <w:gridCol w:w="258"/>
        <w:gridCol w:w="602"/>
        <w:gridCol w:w="60"/>
        <w:gridCol w:w="60"/>
        <w:gridCol w:w="100"/>
        <w:gridCol w:w="645"/>
        <w:gridCol w:w="68"/>
        <w:gridCol w:w="68"/>
        <w:gridCol w:w="274"/>
        <w:gridCol w:w="586"/>
        <w:gridCol w:w="60"/>
        <w:gridCol w:w="60"/>
        <w:gridCol w:w="79"/>
        <w:gridCol w:w="1072"/>
        <w:gridCol w:w="60"/>
        <w:gridCol w:w="60"/>
        <w:gridCol w:w="87"/>
        <w:gridCol w:w="1283"/>
        <w:gridCol w:w="95"/>
        <w:gridCol w:w="60"/>
        <w:gridCol w:w="60"/>
        <w:gridCol w:w="755"/>
        <w:gridCol w:w="114"/>
      </w:tblGrid>
      <w:tr>
        <w:trPr/>
        <w:tc>
          <w:tcPr>
            <w:tcW w:w="22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1"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center"/>
              <w:rPr/>
            </w:pPr>
            <w:r>
              <w:rPr/>
              <w:t> </w:t>
            </w:r>
          </w:p>
        </w:tc>
      </w:tr>
      <w:tr>
        <w:trPr/>
        <w:tc>
          <w:tcPr>
            <w:tcW w:w="22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center"/>
              <w:rPr/>
            </w:pPr>
            <w:r>
              <w:rPr/>
              <w:t> </w:t>
            </w:r>
          </w:p>
        </w:tc>
      </w:tr>
      <w:tr>
        <w:trPr/>
        <w:tc>
          <w:tcPr>
            <w:tcW w:w="22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bookmarkStart w:id="181" w:name="xdx_43E_c20250101__20250630_eus-gaap--St"/>
            <w:bookmarkEnd w:id="181"/>
          </w:p>
        </w:tc>
      </w:tr>
      <w:tr>
        <w:trPr/>
        <w:tc>
          <w:tcPr>
            <w:tcW w:w="2298"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6_eus-gaap--SharesOutstanding_iS_p"/>
            <w:bookmarkEnd w:id="182"/>
          </w:p>
        </w:tc>
        <w:tc>
          <w:tcPr>
            <w:tcW w:w="1101" w:type="dxa"/>
            <w:tcBorders/>
            <w:shd w:fill="CCEEFF" w:val="clear"/>
            <w:vAlign w:val="center"/>
          </w:tcPr>
          <w:p>
            <w:pPr>
              <w:pStyle w:val="TableContents"/>
              <w:bidi w:val="0"/>
              <w:spacing w:before="0" w:after="283"/>
              <w:jc w:val="right"/>
              <w:rPr>
                <w:b/>
              </w:rPr>
            </w:pPr>
            <w:r>
              <w:rPr>
                <w:b/>
              </w:rPr>
              <w:t>26,611,033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bookmarkStart w:id="183" w:name="xdx_988_eus-gaap--SharesOutstanding_iS_p"/>
            <w:bookmarkEnd w:id="183"/>
          </w:p>
        </w:tc>
        <w:tc>
          <w:tcPr>
            <w:tcW w:w="645" w:type="dxa"/>
            <w:tcBorders/>
            <w:shd w:fill="CCEEFF" w:val="cle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4" w:name="xdx_F21_zvmQfEPoIcb2"/>
            <w:bookmarkEnd w:id="184"/>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b/>
              </w:rPr>
            </w:pPr>
            <w:r>
              <w:rPr>
                <w:b/>
              </w:rPr>
              <w:t>289,589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(253,506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36,086</w:t>
            </w:r>
          </w:p>
        </w:tc>
        <w:tc>
          <w:tcPr>
            <w:tcW w:w="114" w:type="dxa"/>
            <w:tcBorders/>
            <w:shd w:fill="CCEEFF" w:val="clear"/>
            <w:vAlign w:val="center"/>
          </w:tcPr>
          <w:p>
            <w:pPr>
              <w:pStyle w:val="TableContents"/>
              <w:bidi w:val="0"/>
              <w:spacing w:before="0" w:after="283"/>
              <w:jc w:val="left"/>
              <w:rPr/>
            </w:pPr>
            <w:r>
              <w:rPr/>
              <w:t> </w:t>
            </w:r>
            <w:bookmarkStart w:id="185" w:name="xdx_40B_eus-gaap--NetIncomeLoss_zf7tFNeh"/>
            <w:bookmarkEnd w:id="185"/>
          </w:p>
        </w:tc>
      </w:tr>
      <w:tr>
        <w:trPr/>
        <w:tc>
          <w:tcPr>
            <w:tcW w:w="2298"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(24,317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(24,317</w:t>
            </w:r>
          </w:p>
        </w:tc>
        <w:tc>
          <w:tcPr>
            <w:tcW w:w="114" w:type="dxa"/>
            <w:tcBorders/>
            <w:shd w:fill="FFFFFF" w:val="clear"/>
            <w:vAlign w:val="center"/>
          </w:tcPr>
          <w:p>
            <w:pPr>
              <w:pStyle w:val="TableContents"/>
              <w:bidi w:val="0"/>
              <w:spacing w:before="0" w:after="283"/>
              <w:jc w:val="left"/>
              <w:rPr>
                <w:b/>
              </w:rPr>
            </w:pPr>
            <w:r>
              <w:rPr>
                <w:b/>
              </w:rPr>
              <w:t>)</w:t>
            </w:r>
            <w:bookmarkStart w:id="186" w:name="xdx_406_ecustom--StockIssuedDuringPeriod"/>
            <w:bookmarkEnd w:id="186"/>
          </w:p>
        </w:tc>
      </w:tr>
      <w:tr>
        <w:trPr/>
        <w:tc>
          <w:tcPr>
            <w:tcW w:w="2298" w:type="dxa"/>
            <w:tcBorders/>
            <w:shd w:fill="CCEEFF" w:val="clear"/>
            <w:vAlign w:val="center"/>
          </w:tcPr>
          <w:p>
            <w:pPr>
              <w:pStyle w:val="TableContents"/>
              <w:bidi w:val="0"/>
              <w:spacing w:before="0" w:after="283"/>
              <w:jc w:val="left"/>
              <w:rPr>
                <w:b/>
              </w:rPr>
            </w:pPr>
            <w:r>
              <w:rPr>
                <w:b/>
              </w:rPr>
              <w:t>Exercise of pre-funded warrants</w:t>
            </w:r>
            <w:bookmarkStart w:id="187" w:name="xdx_F4A_zlWUkqm2UTT5"/>
            <w:bookmarkEnd w:id="187"/>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6_ecustom--StockIssuedDuringPeriod"/>
            <w:bookmarkEnd w:id="188"/>
          </w:p>
        </w:tc>
        <w:tc>
          <w:tcPr>
            <w:tcW w:w="1101" w:type="dxa"/>
            <w:tcBorders/>
            <w:shd w:fill="CCEEFF" w:val="clear"/>
            <w:vAlign w:val="center"/>
          </w:tcPr>
          <w:p>
            <w:pPr>
              <w:pStyle w:val="TableContents"/>
              <w:bidi w:val="0"/>
              <w:spacing w:before="0" w:after="283"/>
              <w:jc w:val="right"/>
              <w:rPr>
                <w:b/>
              </w:rPr>
            </w:pPr>
            <w:r>
              <w:rPr>
                <w:b/>
              </w:rPr>
              <w:t>1,411,553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89" w:name="xdx_F21_zScFzeq1Vzrk"/>
            <w:bookmarkEnd w:id="189"/>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90" w:name="xdx_F21_zTh71LFzwwTl"/>
            <w:bookmarkEnd w:id="190"/>
            <w:r>
              <w:rPr>
                <w:rFonts w:ascii="Times New Roman;Times;Serif" w:hAnsi="Times New Roman;Times;Serif"/>
                <w:b/>
                <w:sz w:val="20"/>
              </w:rPr>
              <w:t>*</w:t>
            </w:r>
          </w:p>
        </w:tc>
        <w:tc>
          <w:tcPr>
            <w:tcW w:w="114" w:type="dxa"/>
            <w:tcBorders/>
            <w:shd w:fill="CCEEFF" w:val="clear"/>
            <w:vAlign w:val="center"/>
          </w:tcPr>
          <w:p>
            <w:pPr>
              <w:pStyle w:val="TableContents"/>
              <w:bidi w:val="0"/>
              <w:spacing w:before="0" w:after="283"/>
              <w:jc w:val="left"/>
              <w:rPr/>
            </w:pPr>
            <w:r>
              <w:rPr/>
              <w:t> </w:t>
            </w:r>
            <w:bookmarkStart w:id="191" w:name="xdx_401_eus-gaap--StockIssuedDuringPerio"/>
            <w:bookmarkEnd w:id="191"/>
          </w:p>
        </w:tc>
      </w:tr>
      <w:tr>
        <w:trPr/>
        <w:tc>
          <w:tcPr>
            <w:tcW w:w="2298" w:type="dxa"/>
            <w:tcBorders/>
            <w:shd w:fill="FFFFFF" w:val="clear"/>
            <w:vAlign w:val="center"/>
          </w:tcPr>
          <w:p>
            <w:pPr>
              <w:pStyle w:val="TableContents"/>
              <w:bidi w:val="0"/>
              <w:spacing w:before="0" w:after="283"/>
              <w:jc w:val="left"/>
              <w:rPr>
                <w:b/>
              </w:rPr>
            </w:pPr>
            <w:r>
              <w:rPr>
                <w:b/>
              </w:rPr>
              <w:t>Issuance of common stock, included at the market offering net of $</w:t>
            </w:r>
            <w:bookmarkStart w:id="192" w:name="xdx_908_eus-gaap--ProceedsFromIssuanceIn"/>
            <w:bookmarkEnd w:id="192"/>
            <w:r>
              <w:rPr>
                <w:b/>
              </w:rPr>
              <w:t>22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3" w:name="xdx_98C_eus-gaap--StockIssuedDuringPerio"/>
            <w:bookmarkEnd w:id="193"/>
          </w:p>
        </w:tc>
        <w:tc>
          <w:tcPr>
            <w:tcW w:w="1101" w:type="dxa"/>
            <w:tcBorders/>
            <w:shd w:fill="FFFFFF" w:val="clear"/>
            <w:vAlign w:val="center"/>
          </w:tcPr>
          <w:p>
            <w:pPr>
              <w:pStyle w:val="TableContents"/>
              <w:bidi w:val="0"/>
              <w:spacing w:before="0" w:after="283"/>
              <w:jc w:val="right"/>
              <w:rPr>
                <w:b/>
              </w:rPr>
            </w:pPr>
            <w:r>
              <w:rPr>
                <w:b/>
              </w:rPr>
              <w:t>273,621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94" w:name="xdx_F2A_zMMhSQTIGUSh"/>
            <w:bookmarkEnd w:id="194"/>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b/>
              </w:rPr>
            </w:pPr>
            <w:r>
              <w:rPr>
                <w:b/>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696</w:t>
            </w:r>
          </w:p>
        </w:tc>
        <w:tc>
          <w:tcPr>
            <w:tcW w:w="114" w:type="dxa"/>
            <w:tcBorders/>
            <w:shd w:fill="FFFFFF" w:val="clear"/>
            <w:vAlign w:val="center"/>
          </w:tcPr>
          <w:p>
            <w:pPr>
              <w:pStyle w:val="TableContents"/>
              <w:bidi w:val="0"/>
              <w:spacing w:before="0" w:after="283"/>
              <w:jc w:val="left"/>
              <w:rPr/>
            </w:pPr>
            <w:r>
              <w:rPr/>
              <w:t> </w:t>
            </w:r>
            <w:bookmarkStart w:id="195" w:name="xdx_404_ecustom--StockIssuedDuringPeriod"/>
            <w:bookmarkEnd w:id="195"/>
          </w:p>
        </w:tc>
      </w:tr>
      <w:tr>
        <w:trPr/>
        <w:tc>
          <w:tcPr>
            <w:tcW w:w="2298" w:type="dxa"/>
            <w:tcBorders/>
            <w:shd w:fill="CCEEFF" w:val="clear"/>
            <w:vAlign w:val="center"/>
          </w:tcPr>
          <w:p>
            <w:pPr>
              <w:pStyle w:val="TableContents"/>
              <w:bidi w:val="0"/>
              <w:spacing w:before="0" w:after="283"/>
              <w:jc w:val="left"/>
              <w:rPr>
                <w:b/>
              </w:rPr>
            </w:pPr>
            <w:r>
              <w:rPr>
                <w:b/>
              </w:rPr>
              <w:t>Exercise of Warrants Series I to common stock, net of $</w:t>
            </w:r>
            <w:bookmarkStart w:id="196" w:name="xdx_901_eus-gaap--StockIssued1_pn3n3_c20"/>
            <w:bookmarkEnd w:id="196"/>
            <w:r>
              <w:rPr>
                <w:b/>
              </w:rPr>
              <w:t>109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6_ecustom--StockIssuedDuringPeriod"/>
            <w:bookmarkEnd w:id="197"/>
          </w:p>
        </w:tc>
        <w:tc>
          <w:tcPr>
            <w:tcW w:w="1101" w:type="dxa"/>
            <w:tcBorders/>
            <w:shd w:fill="CCEEFF" w:val="clear"/>
            <w:vAlign w:val="center"/>
          </w:tcPr>
          <w:p>
            <w:pPr>
              <w:pStyle w:val="TableContents"/>
              <w:bidi w:val="0"/>
              <w:spacing w:before="0" w:after="283"/>
              <w:jc w:val="right"/>
              <w:rPr>
                <w:b/>
              </w:rPr>
            </w:pPr>
            <w:r>
              <w:rPr>
                <w:b/>
              </w:rPr>
              <w:t>1,408,752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98" w:name="xdx_F24_z7UszefveORg"/>
            <w:bookmarkEnd w:id="198"/>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b/>
              </w:rPr>
            </w:pPr>
            <w:r>
              <w:rPr>
                <w:b/>
              </w:rPr>
              <w:t>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1,838</w:t>
            </w:r>
          </w:p>
        </w:tc>
        <w:tc>
          <w:tcPr>
            <w:tcW w:w="114" w:type="dxa"/>
            <w:tcBorders/>
            <w:shd w:fill="CCEEFF" w:val="clear"/>
            <w:vAlign w:val="center"/>
          </w:tcPr>
          <w:p>
            <w:pPr>
              <w:pStyle w:val="TableContents"/>
              <w:bidi w:val="0"/>
              <w:spacing w:before="0" w:after="283"/>
              <w:jc w:val="left"/>
              <w:rPr/>
            </w:pPr>
            <w:r>
              <w:rPr/>
              <w:t> </w:t>
            </w:r>
            <w:bookmarkStart w:id="199" w:name="xdx_404_ecustom--SharebasedCompensationR"/>
            <w:bookmarkEnd w:id="199"/>
          </w:p>
        </w:tc>
      </w:tr>
      <w:tr>
        <w:trPr/>
        <w:tc>
          <w:tcPr>
            <w:tcW w:w="2298" w:type="dxa"/>
            <w:tcBorders/>
            <w:shd w:fill="FFFF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200" w:name="xdx_90E_eus-gaap--StockIssuedDuringPerio"/>
            <w:bookmarkEnd w:id="200"/>
            <w:r>
              <w:rPr>
                <w:b/>
              </w:rPr>
              <w:t>288,207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1" w:name="xdx_98C_ecustom--SharebasedCompensationR"/>
            <w:bookmarkEnd w:id="201"/>
          </w:p>
        </w:tc>
        <w:tc>
          <w:tcPr>
            <w:tcW w:w="1101" w:type="dxa"/>
            <w:tcBorders/>
            <w:shd w:fill="FFFFFF" w:val="clear"/>
            <w:vAlign w:val="center"/>
          </w:tcPr>
          <w:p>
            <w:pPr>
              <w:pStyle w:val="TableContents"/>
              <w:bidi w:val="0"/>
              <w:spacing w:before="0" w:after="283"/>
              <w:jc w:val="right"/>
              <w:rPr>
                <w:b/>
              </w:rPr>
            </w:pPr>
            <w:r>
              <w:rPr>
                <w:b/>
              </w:rPr>
              <w:t>2,847,929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202" w:name="xdx_F23_zv9P9KmZrP6b"/>
            <w:bookmarkEnd w:id="202"/>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b/>
              </w:rPr>
            </w:pPr>
            <w:r>
              <w:rPr>
                <w:b/>
              </w:rPr>
              <w:t>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5,940</w:t>
            </w:r>
          </w:p>
        </w:tc>
        <w:tc>
          <w:tcPr>
            <w:tcW w:w="114" w:type="dxa"/>
            <w:tcBorders/>
            <w:shd w:fill="FFFFFF" w:val="clear"/>
            <w:vAlign w:val="center"/>
          </w:tcPr>
          <w:p>
            <w:pPr>
              <w:pStyle w:val="TableContents"/>
              <w:bidi w:val="0"/>
              <w:spacing w:before="0" w:after="283"/>
              <w:jc w:val="left"/>
              <w:rPr/>
            </w:pPr>
            <w:r>
              <w:rPr/>
              <w:t> </w:t>
            </w:r>
            <w:bookmarkStart w:id="203" w:name="xdx_43F_c20250101__20250630_eus-gaap--St"/>
            <w:bookmarkEnd w:id="203"/>
          </w:p>
        </w:tc>
      </w:tr>
      <w:tr>
        <w:trPr/>
        <w:tc>
          <w:tcPr>
            <w:tcW w:w="2298"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4" w:name="xdx_982_eus-gaap--SharesOutstanding_iE_p"/>
            <w:bookmarkEnd w:id="204"/>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32,552,888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5" w:name="xdx_98B_eus-gaap--SharesOutstanding_iE_p"/>
            <w:bookmarkEnd w:id="205"/>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18"/>
              </w:rPr>
              <w:t>-</w:t>
            </w:r>
            <w:bookmarkStart w:id="206" w:name="xdx_F20_zLD5uOViD608"/>
            <w:bookmarkEnd w:id="206"/>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(277,823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20,243</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207" w:name="xdx_F0C_zdRZxt3B6WGd"/>
            <w:bookmarkEnd w:id="207"/>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208" w:name="xdx_F1C_zRNusUgk0oKb"/>
            <w:bookmarkEnd w:id="208"/>
            <w:r>
              <w:rPr>
                <w:rFonts w:ascii="Times New Roman;Times;Serif" w:hAnsi="Times New Roman;Times;Serif"/>
                <w:sz w:val="20"/>
              </w:rPr>
              <w:t>Represents an amount less than $1 thousand</w:t>
            </w:r>
          </w:p>
        </w:tc>
      </w:tr>
    </w:tbl>
    <w:tbl>
      <w:tblPr>
        <w:tblW w:w="4458" w:type="dxa"/>
        <w:jc w:val="left"/>
        <w:tblInd w:w="0" w:type="dxa"/>
        <w:tblLayout w:type="fixed"/>
        <w:tblCellMar>
          <w:top w:w="0" w:type="dxa"/>
          <w:left w:w="0" w:type="dxa"/>
          <w:bottom w:w="0" w:type="dxa"/>
          <w:right w:w="0" w:type="dxa"/>
        </w:tblCellMar>
      </w:tblPr>
      <w:tblGrid>
        <w:gridCol w:w="245"/>
        <w:gridCol w:w="23"/>
        <w:gridCol w:w="4190"/>
      </w:tblGrid>
      <w:tr>
        <w:trPr/>
        <w:tc>
          <w:tcPr>
            <w:tcW w:w="245" w:type="dxa"/>
            <w:tcBorders/>
            <w:vAlign w:val="center"/>
          </w:tcPr>
          <w:p>
            <w:pPr>
              <w:pStyle w:val="TableContents"/>
              <w:bidi w:val="0"/>
              <w:spacing w:before="0" w:after="283"/>
              <w:jc w:val="right"/>
              <w:rPr>
                <w:rFonts w:ascii="Times New Roman;Times;Serif" w:hAnsi="Times New Roman;Times;Serif"/>
                <w:sz w:val="20"/>
              </w:rPr>
            </w:pPr>
            <w:bookmarkStart w:id="209" w:name="xdx_F04_zHl9C3pysWFk"/>
            <w:bookmarkEnd w:id="209"/>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both"/>
              <w:rPr>
                <w:rFonts w:ascii="Times New Roman;Times;Serif" w:hAnsi="Times New Roman;Times;Serif"/>
                <w:sz w:val="20"/>
              </w:rPr>
            </w:pPr>
            <w:bookmarkStart w:id="210" w:name="xdx_F1F_zExkLUkHbRd7"/>
            <w:bookmarkEnd w:id="210"/>
            <w:r>
              <w:rPr>
                <w:rFonts w:ascii="Times New Roman;Times;Serif" w:hAnsi="Times New Roman;Times;Serif"/>
                <w:sz w:val="20"/>
              </w:rPr>
              <w:t>Represents cashless exercise of pre-funded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2"/>
        <w:gridCol w:w="60"/>
        <w:gridCol w:w="60"/>
        <w:gridCol w:w="1100"/>
        <w:gridCol w:w="60"/>
        <w:gridCol w:w="60"/>
        <w:gridCol w:w="60"/>
        <w:gridCol w:w="800"/>
        <w:gridCol w:w="60"/>
        <w:gridCol w:w="60"/>
        <w:gridCol w:w="68"/>
        <w:gridCol w:w="642"/>
        <w:gridCol w:w="60"/>
        <w:gridCol w:w="60"/>
        <w:gridCol w:w="60"/>
        <w:gridCol w:w="816"/>
        <w:gridCol w:w="60"/>
        <w:gridCol w:w="60"/>
        <w:gridCol w:w="79"/>
        <w:gridCol w:w="1074"/>
        <w:gridCol w:w="60"/>
        <w:gridCol w:w="60"/>
        <w:gridCol w:w="87"/>
        <w:gridCol w:w="1283"/>
        <w:gridCol w:w="95"/>
        <w:gridCol w:w="60"/>
        <w:gridCol w:w="60"/>
        <w:gridCol w:w="755"/>
        <w:gridCol w:w="114"/>
      </w:tblGrid>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C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center"/>
              <w:rPr/>
            </w:pPr>
            <w:r>
              <w:rPr/>
              <w:t> </w:t>
            </w:r>
          </w:p>
        </w:tc>
      </w:tr>
      <w:tr>
        <w:trPr/>
        <w:tc>
          <w:tcPr>
            <w:tcW w:w="23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center"/>
              <w:rPr/>
            </w:pPr>
            <w:r>
              <w:rPr/>
              <w:t> </w:t>
            </w:r>
          </w:p>
        </w:tc>
      </w:tr>
      <w:tr>
        <w:trPr/>
        <w:tc>
          <w:tcPr>
            <w:tcW w:w="2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211" w:name="xdx_436_c20250401__20250630_eus-gaap--St"/>
            <w:bookmarkEnd w:id="211"/>
          </w:p>
        </w:tc>
      </w:tr>
      <w:tr>
        <w:trPr/>
        <w:tc>
          <w:tcPr>
            <w:tcW w:w="2332" w:type="dxa"/>
            <w:tcBorders/>
            <w:shd w:fill="CCEEFF" w:val="clear"/>
            <w:vAlign w:val="center"/>
          </w:tcPr>
          <w:p>
            <w:pPr>
              <w:pStyle w:val="TableContents"/>
              <w:bidi w:val="0"/>
              <w:spacing w:before="0" w:after="283"/>
              <w:jc w:val="left"/>
              <w:rPr>
                <w:b/>
              </w:rPr>
            </w:pPr>
            <w:r>
              <w:rPr>
                <w:b/>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3_eus-gaap--SharesOutstanding_iS_p"/>
            <w:bookmarkEnd w:id="212"/>
          </w:p>
        </w:tc>
        <w:tc>
          <w:tcPr>
            <w:tcW w:w="1100" w:type="dxa"/>
            <w:tcBorders/>
            <w:shd w:fill="CCEEFF" w:val="clear"/>
            <w:vAlign w:val="center"/>
          </w:tcPr>
          <w:p>
            <w:pPr>
              <w:pStyle w:val="TableContents"/>
              <w:bidi w:val="0"/>
              <w:spacing w:before="0" w:after="283"/>
              <w:jc w:val="right"/>
              <w:rPr>
                <w:b/>
              </w:rPr>
            </w:pPr>
            <w:r>
              <w:rPr>
                <w:b/>
              </w:rPr>
              <w:t>29,752,661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3" w:name="xdx_980_eus-gaap--SharesOutstanding_iS_p"/>
            <w:bookmarkEnd w:id="213"/>
          </w:p>
        </w:tc>
        <w:tc>
          <w:tcPr>
            <w:tcW w:w="642" w:type="dxa"/>
            <w:tcBorders/>
            <w:shd w:fill="CCEEFF" w:val="cle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r>
              <w:rPr>
                <w:rFonts w:ascii="Times New Roman;Times;Serif" w:hAnsi="Times New Roman;Times;Serif"/>
                <w:sz w:val="18"/>
              </w:rPr>
              <w:t>-</w:t>
            </w:r>
            <w:bookmarkStart w:id="214" w:name="xdx_F25_zTpE6eLCObQ6"/>
            <w:bookmarkEnd w:id="214"/>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293,014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(264,672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28,345</w:t>
            </w:r>
          </w:p>
        </w:tc>
        <w:tc>
          <w:tcPr>
            <w:tcW w:w="114" w:type="dxa"/>
            <w:tcBorders/>
            <w:shd w:fill="CCEEFF" w:val="clear"/>
            <w:vAlign w:val="center"/>
          </w:tcPr>
          <w:p>
            <w:pPr>
              <w:pStyle w:val="TableContents"/>
              <w:bidi w:val="0"/>
              <w:spacing w:before="0" w:after="283"/>
              <w:jc w:val="left"/>
              <w:rPr/>
            </w:pPr>
            <w:r>
              <w:rPr/>
              <w:t> </w:t>
            </w:r>
            <w:bookmarkStart w:id="215" w:name="xdx_43A_c20250401__20250630_eus-gaap--St"/>
            <w:bookmarkEnd w:id="215"/>
          </w:p>
        </w:tc>
      </w:tr>
      <w:tr>
        <w:trPr/>
        <w:tc>
          <w:tcPr>
            <w:tcW w:w="2332"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1_eus-gaap--SharesOutstanding_iS_p"/>
            <w:bookmarkEnd w:id="216"/>
          </w:p>
        </w:tc>
        <w:tc>
          <w:tcPr>
            <w:tcW w:w="1100" w:type="dxa"/>
            <w:tcBorders/>
            <w:shd w:fill="CCEEFF" w:val="clear"/>
            <w:vAlign w:val="center"/>
          </w:tcPr>
          <w:p>
            <w:pPr>
              <w:pStyle w:val="TableContents"/>
              <w:bidi w:val="0"/>
              <w:spacing w:before="0" w:after="283"/>
              <w:jc w:val="right"/>
              <w:rPr>
                <w:b/>
              </w:rPr>
            </w:pPr>
            <w:r>
              <w:rPr>
                <w:b/>
              </w:rPr>
              <w:t>29,752,661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7" w:name="xdx_980_eus-gaap--SharesOutstanding_iS_p"/>
            <w:bookmarkEnd w:id="217"/>
          </w:p>
        </w:tc>
        <w:tc>
          <w:tcPr>
            <w:tcW w:w="642" w:type="dxa"/>
            <w:tcBorders/>
            <w:shd w:fill="CCEEFF" w:val="clear"/>
            <w:vAlign w:val="center"/>
          </w:tcPr>
          <w:p>
            <w:pPr>
              <w:pStyle w:val="TableContents"/>
              <w:bidi w:val="0"/>
              <w:spacing w:before="0" w:after="283"/>
              <w:jc w:val="right"/>
              <w:rPr/>
            </w:pPr>
            <w:r>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r>
              <w:rPr>
                <w:rFonts w:ascii="Times New Roman;Times;Serif" w:hAnsi="Times New Roman;Times;Serif"/>
                <w:sz w:val="18"/>
              </w:rPr>
              <w:t>-</w:t>
            </w:r>
            <w:bookmarkStart w:id="218" w:name="xdx_F2C_zYe7pwpZvBFl"/>
            <w:bookmarkEnd w:id="218"/>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293,014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(264,672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28,345</w:t>
            </w:r>
          </w:p>
        </w:tc>
        <w:tc>
          <w:tcPr>
            <w:tcW w:w="114" w:type="dxa"/>
            <w:tcBorders/>
            <w:shd w:fill="CCEEFF" w:val="clear"/>
            <w:vAlign w:val="center"/>
          </w:tcPr>
          <w:p>
            <w:pPr>
              <w:pStyle w:val="TableContents"/>
              <w:bidi w:val="0"/>
              <w:spacing w:before="0" w:after="283"/>
              <w:jc w:val="left"/>
              <w:rPr/>
            </w:pPr>
            <w:r>
              <w:rPr/>
              <w:t> </w:t>
            </w:r>
            <w:bookmarkStart w:id="219" w:name="xdx_40B_eus-gaap--NetIncomeLoss_zhR6MGmM"/>
            <w:bookmarkEnd w:id="219"/>
          </w:p>
        </w:tc>
      </w:tr>
      <w:tr>
        <w:trPr/>
        <w:tc>
          <w:tcPr>
            <w:tcW w:w="233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(13,151</w:t>
            </w:r>
          </w:p>
        </w:tc>
        <w:tc>
          <w:tcPr>
            <w:tcW w:w="114" w:type="dxa"/>
            <w:tcBorders/>
            <w:shd w:fill="FFFFFF" w:val="clear"/>
            <w:vAlign w:val="center"/>
          </w:tcPr>
          <w:p>
            <w:pPr>
              <w:pStyle w:val="TableContents"/>
              <w:bidi w:val="0"/>
              <w:spacing w:before="0" w:after="283"/>
              <w:jc w:val="left"/>
              <w:rPr/>
            </w:pPr>
            <w:r>
              <w:rPr/>
              <w:t>)</w:t>
            </w:r>
            <w:bookmarkStart w:id="220" w:name="xdx_401_ecustom--StockIssuedDuringPeriod"/>
            <w:bookmarkEnd w:id="220"/>
          </w:p>
        </w:tc>
      </w:tr>
      <w:tr>
        <w:trPr/>
        <w:tc>
          <w:tcPr>
            <w:tcW w:w="2332" w:type="dxa"/>
            <w:tcBorders/>
            <w:shd w:fill="CCEEFF" w:val="clear"/>
            <w:vAlign w:val="center"/>
          </w:tcPr>
          <w:p>
            <w:pPr>
              <w:pStyle w:val="TableContents"/>
              <w:bidi w:val="0"/>
              <w:spacing w:before="0" w:after="283"/>
              <w:jc w:val="left"/>
              <w:rPr>
                <w:b/>
              </w:rPr>
            </w:pPr>
            <w:r>
              <w:rPr>
                <w:b/>
              </w:rPr>
              <w:t>Exercise of pre-funded warrants</w:t>
            </w:r>
            <w:bookmarkStart w:id="221" w:name="xdx_F4C_z8xOuf04LMOa"/>
            <w:bookmarkEnd w:id="221"/>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2" w:name="xdx_98F_ecustom--StockIssuedDuringPeriod"/>
            <w:bookmarkEnd w:id="222"/>
          </w:p>
        </w:tc>
        <w:tc>
          <w:tcPr>
            <w:tcW w:w="1100" w:type="dxa"/>
            <w:tcBorders/>
            <w:shd w:fill="CCEEFF" w:val="clear"/>
            <w:vAlign w:val="center"/>
          </w:tcPr>
          <w:p>
            <w:pPr>
              <w:pStyle w:val="TableContents"/>
              <w:bidi w:val="0"/>
              <w:spacing w:before="0" w:after="283"/>
              <w:jc w:val="right"/>
              <w:rPr/>
            </w:pPr>
            <w:r>
              <w:rPr/>
              <w:t>767,693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rFonts w:ascii="Times New Roman;Times;Serif" w:hAnsi="Times New Roman;Times;Serif"/>
                <w:b/>
                <w:sz w:val="18"/>
              </w:rPr>
              <w:t>-</w:t>
            </w:r>
            <w:bookmarkStart w:id="223" w:name="xdx_F26_zUotgjsjFBN8"/>
            <w:bookmarkEnd w:id="223"/>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sz w:val="18"/>
              </w:rPr>
              <w:t>-</w:t>
            </w:r>
            <w:bookmarkStart w:id="224" w:name="xdx_F29_zVaXbc6xnfJ9"/>
            <w:bookmarkEnd w:id="224"/>
            <w:r>
              <w:rPr>
                <w:rFonts w:ascii="Times New Roman;Times;Serif" w:hAnsi="Times New Roman;Times;Serif"/>
                <w:b/>
                <w:sz w:val="20"/>
              </w:rPr>
              <w:t>*</w:t>
            </w:r>
          </w:p>
        </w:tc>
        <w:tc>
          <w:tcPr>
            <w:tcW w:w="114" w:type="dxa"/>
            <w:tcBorders/>
            <w:shd w:fill="CCEEFF" w:val="clear"/>
            <w:vAlign w:val="center"/>
          </w:tcPr>
          <w:p>
            <w:pPr>
              <w:pStyle w:val="TableContents"/>
              <w:bidi w:val="0"/>
              <w:spacing w:before="0" w:after="283"/>
              <w:jc w:val="left"/>
              <w:rPr/>
            </w:pPr>
            <w:r>
              <w:rPr/>
              <w:t> </w:t>
            </w:r>
            <w:bookmarkStart w:id="225" w:name="xdx_40F_ecustom--StockIssuedDuringPeriod"/>
            <w:bookmarkEnd w:id="225"/>
          </w:p>
        </w:tc>
      </w:tr>
      <w:tr>
        <w:trPr/>
        <w:tc>
          <w:tcPr>
            <w:tcW w:w="2332" w:type="dxa"/>
            <w:tcBorders/>
            <w:shd w:fill="FFFFFF" w:val="clear"/>
            <w:vAlign w:val="center"/>
          </w:tcPr>
          <w:p>
            <w:pPr>
              <w:pStyle w:val="TableContents"/>
              <w:bidi w:val="0"/>
              <w:spacing w:before="0" w:after="283"/>
              <w:jc w:val="left"/>
              <w:rPr>
                <w:b/>
              </w:rPr>
            </w:pPr>
            <w:r>
              <w:rPr>
                <w:b/>
              </w:rPr>
              <w:t>Exercise of Warrants Series I to common stock, net of $</w:t>
            </w:r>
            <w:bookmarkStart w:id="226" w:name="xdx_900_eus-gaap--StockIssued1_pn3n3_c20"/>
            <w:bookmarkEnd w:id="226"/>
            <w:r>
              <w:rPr>
                <w:b/>
              </w:rPr>
              <w:t>109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7" w:name="xdx_98A_ecustom--StockIssuedDuringPeriod"/>
            <w:bookmarkEnd w:id="227"/>
          </w:p>
        </w:tc>
        <w:tc>
          <w:tcPr>
            <w:tcW w:w="1100" w:type="dxa"/>
            <w:tcBorders/>
            <w:shd w:fill="FFFFFF" w:val="clear"/>
            <w:vAlign w:val="center"/>
          </w:tcPr>
          <w:p>
            <w:pPr>
              <w:pStyle w:val="TableContents"/>
              <w:bidi w:val="0"/>
              <w:spacing w:before="0" w:after="283"/>
              <w:jc w:val="right"/>
              <w:rPr/>
            </w:pPr>
            <w:r>
              <w:rPr/>
              <w:t>1,408,752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228" w:name="xdx_F23_zVGnuloUqW26"/>
            <w:bookmarkEnd w:id="228"/>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w:t>
            </w:r>
          </w:p>
        </w:tc>
        <w:tc>
          <w:tcPr>
            <w:tcW w:w="114" w:type="dxa"/>
            <w:tcBorders/>
            <w:shd w:fill="FFFFFF" w:val="clear"/>
            <w:vAlign w:val="center"/>
          </w:tcPr>
          <w:p>
            <w:pPr>
              <w:pStyle w:val="TableContents"/>
              <w:bidi w:val="0"/>
              <w:spacing w:before="0" w:after="283"/>
              <w:jc w:val="left"/>
              <w:rPr/>
            </w:pPr>
            <w:r>
              <w:rPr/>
              <w:t> </w:t>
            </w:r>
            <w:bookmarkStart w:id="229" w:name="xdx_405_ecustom--StockIssuedDuringPeriod"/>
            <w:bookmarkEnd w:id="229"/>
          </w:p>
        </w:tc>
      </w:tr>
      <w:tr>
        <w:trPr/>
        <w:tc>
          <w:tcPr>
            <w:tcW w:w="2332" w:type="dxa"/>
            <w:tcBorders/>
            <w:shd w:fill="FFFFFF" w:val="clear"/>
            <w:vAlign w:val="center"/>
          </w:tcPr>
          <w:p>
            <w:pPr>
              <w:pStyle w:val="TableContents"/>
              <w:bidi w:val="0"/>
              <w:spacing w:before="0" w:after="283"/>
              <w:jc w:val="left"/>
              <w:rPr>
                <w:b/>
              </w:rPr>
            </w:pPr>
            <w:r>
              <w:rPr>
                <w:b/>
              </w:rPr>
              <w:t>Exercise of Warrants to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0" w:name="xdx_98E_ecustom--StockIssuedDuringPeriod"/>
            <w:bookmarkEnd w:id="230"/>
          </w:p>
        </w:tc>
        <w:tc>
          <w:tcPr>
            <w:tcW w:w="1100" w:type="dxa"/>
            <w:tcBorders/>
            <w:shd w:fill="FFFFFF" w:val="clear"/>
            <w:vAlign w:val="center"/>
          </w:tcPr>
          <w:p>
            <w:pPr>
              <w:pStyle w:val="TableContents"/>
              <w:bidi w:val="0"/>
              <w:spacing w:before="0" w:after="283"/>
              <w:jc w:val="right"/>
              <w:rPr/>
            </w:pPr>
            <w:r>
              <w:rPr/>
              <w:t>1,408,752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231" w:name="xdx_F27_zeazcjY1jd8i"/>
            <w:bookmarkEnd w:id="231"/>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w:t>
            </w:r>
          </w:p>
        </w:tc>
        <w:tc>
          <w:tcPr>
            <w:tcW w:w="114" w:type="dxa"/>
            <w:tcBorders/>
            <w:shd w:fill="FFFFFF" w:val="clear"/>
            <w:vAlign w:val="center"/>
          </w:tcPr>
          <w:p>
            <w:pPr>
              <w:pStyle w:val="TableContents"/>
              <w:bidi w:val="0"/>
              <w:spacing w:before="0" w:after="283"/>
              <w:jc w:val="left"/>
              <w:rPr/>
            </w:pPr>
            <w:r>
              <w:rPr/>
              <w:t> </w:t>
            </w:r>
            <w:bookmarkStart w:id="232" w:name="xdx_404_ecustom--SharebasedCompensationR"/>
            <w:bookmarkEnd w:id="232"/>
          </w:p>
        </w:tc>
      </w:tr>
      <w:tr>
        <w:trPr/>
        <w:tc>
          <w:tcPr>
            <w:tcW w:w="2332"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233" w:name="xdx_90C_eus-gaap--StockIssuedDuringPerio"/>
            <w:bookmarkEnd w:id="233"/>
            <w:r>
              <w:rPr>
                <w:b/>
              </w:rPr>
              <w:t>258,912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4" w:name="xdx_987_ecustom--SharebasedCompensationR"/>
            <w:bookmarkEnd w:id="234"/>
          </w:p>
        </w:tc>
        <w:tc>
          <w:tcPr>
            <w:tcW w:w="1100" w:type="dxa"/>
            <w:tcBorders/>
            <w:shd w:fill="CCEEFF" w:val="clear"/>
            <w:vAlign w:val="center"/>
          </w:tcPr>
          <w:p>
            <w:pPr>
              <w:pStyle w:val="TableContents"/>
              <w:bidi w:val="0"/>
              <w:spacing w:before="0" w:after="283"/>
              <w:jc w:val="right"/>
              <w:rPr>
                <w:b/>
              </w:rPr>
            </w:pPr>
            <w:r>
              <w:rPr>
                <w:b/>
              </w:rPr>
              <w:t>623,782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235" w:name="xdx_F28_z7F1MlOoTLV6"/>
            <w:bookmarkEnd w:id="235"/>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3,211</w:t>
            </w:r>
          </w:p>
        </w:tc>
        <w:tc>
          <w:tcPr>
            <w:tcW w:w="114" w:type="dxa"/>
            <w:tcBorders/>
            <w:shd w:fill="CCEEFF" w:val="clear"/>
            <w:vAlign w:val="center"/>
          </w:tcPr>
          <w:p>
            <w:pPr>
              <w:pStyle w:val="TableContents"/>
              <w:bidi w:val="0"/>
              <w:spacing w:before="0" w:after="283"/>
              <w:jc w:val="left"/>
              <w:rPr/>
            </w:pPr>
            <w:r>
              <w:rPr/>
              <w:t> </w:t>
            </w:r>
            <w:bookmarkStart w:id="236" w:name="xdx_43A_c20250401__20250630_eus-gaap--St"/>
            <w:bookmarkEnd w:id="236"/>
          </w:p>
        </w:tc>
      </w:tr>
      <w:tr>
        <w:trPr/>
        <w:tc>
          <w:tcPr>
            <w:tcW w:w="2332"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7" w:name="xdx_980_eus-gaap--SharesOutstanding_iE_p"/>
            <w:bookmarkEnd w:id="23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32,552,888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8" w:name="xdx_989_eus-gaap--SharesOutstanding_iE_p"/>
            <w:bookmarkEnd w:id="238"/>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239" w:name="xdx_F2E_z3zxFfs4xr7f"/>
            <w:bookmarkEnd w:id="239"/>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298,063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pPr>
            <w:r>
              <w:rPr/>
              <w:t>(277,823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20,243</w:t>
            </w:r>
          </w:p>
        </w:tc>
        <w:tc>
          <w:tcPr>
            <w:tcW w:w="114" w:type="dxa"/>
            <w:tcBorders/>
            <w:shd w:fill="FFFFFF" w:val="clear"/>
            <w:vAlign w:val="center"/>
          </w:tcPr>
          <w:p>
            <w:pPr>
              <w:pStyle w:val="TableContents"/>
              <w:bidi w:val="0"/>
              <w:spacing w:before="0" w:after="283"/>
              <w:jc w:val="left"/>
              <w:rPr/>
            </w:pPr>
            <w:r>
              <w:rPr/>
              <w:t> </w:t>
            </w:r>
            <w:bookmarkStart w:id="240" w:name="xdx_43B_c20250401__20250630_eus-gaap--St"/>
            <w:bookmarkEnd w:id="240"/>
          </w:p>
        </w:tc>
      </w:tr>
      <w:tr>
        <w:trPr/>
        <w:tc>
          <w:tcPr>
            <w:tcW w:w="2332"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1" w:name="xdx_98C_eus-gaap--SharesOutstanding_iE_p"/>
            <w:bookmarkEnd w:id="24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32,552,888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42" w:name="xdx_98A_eus-gaap--SharesOutstanding_iE_p"/>
            <w:bookmarkEnd w:id="242"/>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1,718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243" w:name="xdx_F2B_zBydp2Lb2LO4"/>
            <w:bookmarkEnd w:id="243"/>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298,063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pPr>
            <w:r>
              <w:rPr/>
              <w:t>(277,823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20,243</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244" w:name="xdx_F0E_zBZjOVRKPTy3"/>
            <w:bookmarkEnd w:id="244"/>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245" w:name="xdx_F11_zAIP4YzFF31j"/>
            <w:bookmarkEnd w:id="245"/>
            <w:r>
              <w:rPr>
                <w:rFonts w:ascii="Times New Roman;Times;Serif" w:hAnsi="Times New Roman;Times;Serif"/>
                <w:sz w:val="20"/>
              </w:rPr>
              <w:t>Represents an amount less than $1 thousand</w:t>
            </w:r>
          </w:p>
        </w:tc>
      </w:tr>
    </w:tbl>
    <w:tbl>
      <w:tblPr>
        <w:tblW w:w="4458" w:type="dxa"/>
        <w:jc w:val="left"/>
        <w:tblInd w:w="0" w:type="dxa"/>
        <w:tblLayout w:type="fixed"/>
        <w:tblCellMar>
          <w:top w:w="0" w:type="dxa"/>
          <w:left w:w="0" w:type="dxa"/>
          <w:bottom w:w="0" w:type="dxa"/>
          <w:right w:w="0" w:type="dxa"/>
        </w:tblCellMar>
      </w:tblPr>
      <w:tblGrid>
        <w:gridCol w:w="245"/>
        <w:gridCol w:w="23"/>
        <w:gridCol w:w="4190"/>
      </w:tblGrid>
      <w:tr>
        <w:trPr/>
        <w:tc>
          <w:tcPr>
            <w:tcW w:w="245" w:type="dxa"/>
            <w:tcBorders/>
            <w:vAlign w:val="center"/>
          </w:tcPr>
          <w:p>
            <w:pPr>
              <w:pStyle w:val="TableContents"/>
              <w:bidi w:val="0"/>
              <w:spacing w:before="0" w:after="283"/>
              <w:jc w:val="right"/>
              <w:rPr>
                <w:rFonts w:ascii="Times New Roman;Times;Serif" w:hAnsi="Times New Roman;Times;Serif"/>
                <w:sz w:val="20"/>
              </w:rPr>
            </w:pPr>
            <w:bookmarkStart w:id="246" w:name="xdx_F0D_zUuTANjawHdb"/>
            <w:bookmarkEnd w:id="246"/>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both"/>
              <w:rPr>
                <w:rFonts w:ascii="Times New Roman;Times;Serif" w:hAnsi="Times New Roman;Times;Serif"/>
                <w:sz w:val="20"/>
              </w:rPr>
            </w:pPr>
            <w:bookmarkStart w:id="247" w:name="xdx_F1E_zUGpNFEps7si"/>
            <w:bookmarkEnd w:id="247"/>
            <w:r>
              <w:rPr>
                <w:rFonts w:ascii="Times New Roman;Times;Serif" w:hAnsi="Times New Roman;Times;Serif"/>
                <w:sz w:val="20"/>
              </w:rPr>
              <w:t>Represents cashless exercise of pre-funded warrants</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F_004"/>
      <w:bookmarkEnd w:id="248"/>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9" w:name="xdx_301_112_pn3n3_zX807a4546J3"/>
      <w:bookmarkStart w:id="250" w:name="xdx_301_112_pn3n3_zX807a4546J3"/>
      <w:bookmarkEnd w:id="250"/>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1" w:name="xdx_49C_20250101__20250630_z9FLpNCeIXGj"/>
            <w:bookmarkEnd w:id="251"/>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2" w:name="xdx_492_20240101__20240630_zMQPPmuHSprf"/>
            <w:bookmarkEnd w:id="25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53" w:name="xdx_40F_eus-gaap--NetCashProvidedByUsedI"/>
            <w:bookmarkEnd w:id="253"/>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4" w:name="xdx_40F_eus-gaap--NetIncomeLoss_i01_maNC"/>
            <w:bookmarkEnd w:id="254"/>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(24,317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(14,941</w:t>
            </w:r>
          </w:p>
        </w:tc>
        <w:tc>
          <w:tcPr>
            <w:tcW w:w="110" w:type="dxa"/>
            <w:tcBorders/>
            <w:shd w:fill="FFFFFF" w:val="clear"/>
            <w:vAlign w:val="center"/>
          </w:tcPr>
          <w:p>
            <w:pPr>
              <w:pStyle w:val="TableContents"/>
              <w:bidi w:val="0"/>
              <w:spacing w:before="0" w:after="283"/>
              <w:jc w:val="left"/>
              <w:rPr/>
            </w:pPr>
            <w:r>
              <w:rPr/>
              <w:t>)</w:t>
            </w:r>
            <w:bookmarkStart w:id="255" w:name="xdx_400_eus-gaap--AdjustmentsNoncashItem"/>
            <w:bookmarkEnd w:id="255"/>
          </w:p>
        </w:tc>
      </w:tr>
      <w:tr>
        <w:trPr/>
        <w:tc>
          <w:tcPr>
            <w:tcW w:w="8090" w:type="dxa"/>
            <w:tcBorders/>
            <w:shd w:fill="CCEE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6" w:name="xdx_401_eus-gaap--Depreciation_i02_maNCP"/>
            <w:bookmarkEnd w:id="256"/>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bookmarkStart w:id="257" w:name="xdx_405_ecustom--ChangesInFairValueOfMar"/>
            <w:bookmarkEnd w:id="257"/>
          </w:p>
        </w:tc>
      </w:tr>
      <w:tr>
        <w:trPr/>
        <w:tc>
          <w:tcPr>
            <w:tcW w:w="8090" w:type="dxa"/>
            <w:tcBorders/>
            <w:shd w:fill="CCEEFF" w:val="clear"/>
            <w:vAlign w:val="center"/>
          </w:tcPr>
          <w:p>
            <w:pPr>
              <w:pStyle w:val="TableContents"/>
              <w:bidi w:val="0"/>
              <w:spacing w:before="0" w:after="283"/>
              <w:jc w:val="left"/>
              <w:rPr/>
            </w:pPr>
            <w:r>
              <w:rPr/>
              <w:t>Changes in fair value of marketable securities, net of interest received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(435</w:t>
            </w:r>
          </w:p>
        </w:tc>
        <w:tc>
          <w:tcPr>
            <w:tcW w:w="110" w:type="dxa"/>
            <w:tcBorders/>
            <w:shd w:fill="CCEEFF" w:val="clear"/>
            <w:vAlign w:val="center"/>
          </w:tcPr>
          <w:p>
            <w:pPr>
              <w:pStyle w:val="TableContents"/>
              <w:bidi w:val="0"/>
              <w:spacing w:before="0" w:after="283"/>
              <w:jc w:val="left"/>
              <w:rPr/>
            </w:pPr>
            <w:r>
              <w:rPr/>
              <w:t>)</w:t>
            </w:r>
            <w:bookmarkStart w:id="258" w:name="xdx_401_ecustom--ChangeInLiabilityForEmp"/>
            <w:bookmarkEnd w:id="258"/>
          </w:p>
        </w:tc>
      </w:tr>
      <w:tr>
        <w:trPr/>
        <w:tc>
          <w:tcPr>
            <w:tcW w:w="8090" w:type="dxa"/>
            <w:tcBorders/>
            <w:shd w:fill="FFFFFF" w:val="clear"/>
            <w:vAlign w:val="center"/>
          </w:tcPr>
          <w:p>
            <w:pPr>
              <w:pStyle w:val="TableContents"/>
              <w:bidi w:val="0"/>
              <w:spacing w:before="0" w:after="283"/>
              <w:jc w:val="left"/>
              <w:rPr/>
            </w:pPr>
            <w:r>
              <w:rPr/>
              <w:t>Change in liability for employees’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 </w:t>
            </w:r>
            <w:bookmarkStart w:id="259" w:name="xdx_40C_eus-gaap--OtherNoncashIncomeExpe"/>
            <w:bookmarkEnd w:id="259"/>
          </w:p>
        </w:tc>
      </w:tr>
      <w:tr>
        <w:trPr/>
        <w:tc>
          <w:tcPr>
            <w:tcW w:w="8090" w:type="dxa"/>
            <w:tcBorders/>
            <w:shd w:fill="CCEEFF" w:val="clear"/>
            <w:vAlign w:val="center"/>
          </w:tcPr>
          <w:p>
            <w:pPr>
              <w:pStyle w:val="TableContents"/>
              <w:bidi w:val="0"/>
              <w:spacing w:before="0" w:after="283"/>
              <w:jc w:val="left"/>
              <w:rPr/>
            </w:pPr>
            <w:r>
              <w:rPr/>
              <w:t>Other financial expenses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bookmarkStart w:id="260" w:name="xdx_402_ecustom--ChangeInRightOfUseAsset"/>
            <w:bookmarkEnd w:id="260"/>
          </w:p>
        </w:tc>
      </w:tr>
      <w:tr>
        <w:trPr/>
        <w:tc>
          <w:tcPr>
            <w:tcW w:w="8090" w:type="dxa"/>
            <w:tcBorders/>
            <w:shd w:fill="FFFFFF" w:val="clear"/>
            <w:vAlign w:val="center"/>
          </w:tcPr>
          <w:p>
            <w:pPr>
              <w:pStyle w:val="TableContents"/>
              <w:bidi w:val="0"/>
              <w:spacing w:before="0" w:after="283"/>
              <w:jc w:val="left"/>
              <w:rPr/>
            </w:pPr>
            <w:r>
              <w:rPr/>
              <w:t>Change in operating right of use asset and operating leasing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w:t>
            </w:r>
          </w:p>
        </w:tc>
        <w:tc>
          <w:tcPr>
            <w:tcW w:w="110" w:type="dxa"/>
            <w:tcBorders/>
            <w:shd w:fill="FFFFFF" w:val="clear"/>
            <w:vAlign w:val="center"/>
          </w:tcPr>
          <w:p>
            <w:pPr>
              <w:pStyle w:val="TableContents"/>
              <w:bidi w:val="0"/>
              <w:spacing w:before="0" w:after="283"/>
              <w:jc w:val="left"/>
              <w:rPr/>
            </w:pPr>
            <w:r>
              <w:rPr/>
              <w:t>)</w:t>
            </w:r>
            <w:bookmarkStart w:id="261" w:name="xdx_406_eus-gaap--ShareBasedCompensation"/>
            <w:bookmarkEnd w:id="261"/>
          </w:p>
        </w:tc>
      </w:tr>
      <w:tr>
        <w:trPr/>
        <w:tc>
          <w:tcPr>
            <w:tcW w:w="809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5,349</w:t>
            </w:r>
          </w:p>
        </w:tc>
        <w:tc>
          <w:tcPr>
            <w:tcW w:w="110" w:type="dxa"/>
            <w:tcBorders/>
            <w:shd w:fill="CCEEFF" w:val="clear"/>
            <w:vAlign w:val="center"/>
          </w:tcPr>
          <w:p>
            <w:pPr>
              <w:pStyle w:val="TableContents"/>
              <w:bidi w:val="0"/>
              <w:spacing w:before="0" w:after="283"/>
              <w:jc w:val="left"/>
              <w:rPr/>
            </w:pPr>
            <w:r>
              <w:rPr/>
              <w:t> </w:t>
            </w:r>
            <w:bookmarkStart w:id="262" w:name="xdx_402_ecustom--LossGainOnAmountsFunded"/>
            <w:bookmarkEnd w:id="262"/>
          </w:p>
        </w:tc>
      </w:tr>
      <w:tr>
        <w:trPr/>
        <w:tc>
          <w:tcPr>
            <w:tcW w:w="8090" w:type="dxa"/>
            <w:tcBorders/>
            <w:shd w:fill="FFFFFF" w:val="clear"/>
            <w:vAlign w:val="center"/>
          </w:tcPr>
          <w:p>
            <w:pPr>
              <w:pStyle w:val="TableContents"/>
              <w:bidi w:val="0"/>
              <w:spacing w:before="0" w:after="283"/>
              <w:jc w:val="left"/>
              <w:rPr/>
            </w:pPr>
            <w:r>
              <w:rPr/>
              <w:t>Loss (gain) on amounts funded in respect of employee rights upon retirement,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 </w:t>
            </w:r>
            <w:bookmarkStart w:id="263" w:name="xdx_405_eus-gaap--IncreaseDecreaseInOper"/>
            <w:bookmarkEnd w:id="263"/>
          </w:p>
        </w:tc>
      </w:tr>
      <w:tr>
        <w:trPr/>
        <w:tc>
          <w:tcPr>
            <w:tcW w:w="8090" w:type="dxa"/>
            <w:tcBorders/>
            <w:shd w:fill="CCEEFF" w:val="clear"/>
            <w:vAlign w:val="center"/>
          </w:tcPr>
          <w:p>
            <w:pPr>
              <w:pStyle w:val="TableContents"/>
              <w:bidi w:val="0"/>
              <w:spacing w:before="0" w:after="283"/>
              <w:jc w:val="left"/>
              <w:rPr/>
            </w:pPr>
            <w:r>
              <w:rPr/>
              <w:t>Changes in operating asset and liability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4" w:name="xdx_407_eus-gaap--IncreaseDecreaseInPrep"/>
            <w:bookmarkEnd w:id="264"/>
          </w:p>
        </w:tc>
      </w:tr>
      <w:tr>
        <w:trPr/>
        <w:tc>
          <w:tcPr>
            <w:tcW w:w="8090" w:type="dxa"/>
            <w:tcBorders/>
            <w:shd w:fill="FFFFFF" w:val="clear"/>
            <w:vAlign w:val="center"/>
          </w:tcPr>
          <w:p>
            <w:pPr>
              <w:pStyle w:val="TableContents"/>
              <w:bidi w:val="0"/>
              <w:spacing w:before="0" w:after="283"/>
              <w:jc w:val="left"/>
              <w:rPr/>
            </w:pPr>
            <w:r>
              <w:rPr/>
              <w:t>Decrease (increase) in 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(139</w:t>
            </w:r>
          </w:p>
        </w:tc>
        <w:tc>
          <w:tcPr>
            <w:tcW w:w="110" w:type="dxa"/>
            <w:tcBorders/>
            <w:shd w:fill="FFFFFF" w:val="clear"/>
            <w:vAlign w:val="center"/>
          </w:tcPr>
          <w:p>
            <w:pPr>
              <w:pStyle w:val="TableContents"/>
              <w:bidi w:val="0"/>
              <w:spacing w:before="0" w:after="283"/>
              <w:jc w:val="left"/>
              <w:rPr/>
            </w:pPr>
            <w:r>
              <w:rPr/>
              <w:t>)</w:t>
            </w:r>
            <w:bookmarkStart w:id="265" w:name="xdx_40C_eus-gaap--IncreaseDecreaseInAcco"/>
            <w:bookmarkEnd w:id="265"/>
          </w:p>
        </w:tc>
      </w:tr>
      <w:tr>
        <w:trPr/>
        <w:tc>
          <w:tcPr>
            <w:tcW w:w="8090" w:type="dxa"/>
            <w:tcBorders/>
            <w:shd w:fill="CCEEFF" w:val="clear"/>
            <w:vAlign w:val="center"/>
          </w:tcPr>
          <w:p>
            <w:pPr>
              <w:pStyle w:val="TableContents"/>
              <w:bidi w:val="0"/>
              <w:spacing w:before="0" w:after="283"/>
              <w:jc w:val="left"/>
              <w:rPr/>
            </w:pPr>
            <w:r>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497</w:t>
            </w:r>
          </w:p>
        </w:tc>
        <w:tc>
          <w:tcPr>
            <w:tcW w:w="110" w:type="dxa"/>
            <w:tcBorders/>
            <w:shd w:fill="CCEEFF" w:val="clear"/>
            <w:vAlign w:val="center"/>
          </w:tcPr>
          <w:p>
            <w:pPr>
              <w:pStyle w:val="TableContents"/>
              <w:bidi w:val="0"/>
              <w:spacing w:before="0" w:after="283"/>
              <w:jc w:val="left"/>
              <w:rPr/>
            </w:pPr>
            <w:r>
              <w:rPr/>
              <w:t> </w:t>
            </w:r>
            <w:bookmarkStart w:id="266" w:name="xdx_40A_eus-gaap--IncreaseDecreaseInOthe"/>
            <w:bookmarkEnd w:id="266"/>
          </w:p>
        </w:tc>
      </w:tr>
      <w:tr>
        <w:trPr/>
        <w:tc>
          <w:tcPr>
            <w:tcW w:w="8090" w:type="dxa"/>
            <w:tcBorders/>
            <w:shd w:fill="FFFFFF" w:val="clear"/>
            <w:vAlign w:val="center"/>
          </w:tcPr>
          <w:p>
            <w:pPr>
              <w:pStyle w:val="TableContents"/>
              <w:bidi w:val="0"/>
              <w:spacing w:before="0" w:after="283"/>
              <w:jc w:val="left"/>
              <w:rPr/>
            </w:pPr>
            <w:r>
              <w:rPr/>
              <w:t>Decrease in 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jc w:val="left"/>
              <w:rPr/>
            </w:pPr>
            <w:r>
              <w:rPr/>
              <w:t> </w:t>
            </w:r>
            <w:bookmarkStart w:id="267" w:name="xdx_400_eus-gaap--IncreaseDecreaseInInve"/>
            <w:bookmarkEnd w:id="267"/>
          </w:p>
        </w:tc>
      </w:tr>
      <w:tr>
        <w:trPr/>
        <w:tc>
          <w:tcPr>
            <w:tcW w:w="8090" w:type="dxa"/>
            <w:tcBorders/>
            <w:shd w:fill="CCEEFF" w:val="clear"/>
            <w:vAlign w:val="center"/>
          </w:tcPr>
          <w:p>
            <w:pPr>
              <w:pStyle w:val="TableContents"/>
              <w:bidi w:val="0"/>
              <w:spacing w:before="0" w:after="283"/>
              <w:jc w:val="left"/>
              <w:rPr/>
            </w:pPr>
            <w:r>
              <w:rPr/>
              <w:t>Increase in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bookmarkStart w:id="268" w:name="xdx_40A_eus-gaap--IncreaseDecreaseInAcco"/>
            <w:bookmarkEnd w:id="268"/>
          </w:p>
        </w:tc>
      </w:tr>
      <w:tr>
        <w:trPr/>
        <w:tc>
          <w:tcPr>
            <w:tcW w:w="8090" w:type="dxa"/>
            <w:tcBorders/>
            <w:shd w:fill="FFFFFF" w:val="clear"/>
            <w:vAlign w:val="center"/>
          </w:tcPr>
          <w:p>
            <w:pPr>
              <w:pStyle w:val="TableContents"/>
              <w:bidi w:val="0"/>
              <w:spacing w:before="0" w:after="283"/>
              <w:jc w:val="left"/>
              <w:rPr/>
            </w:pPr>
            <w:r>
              <w:rPr/>
              <w:t>Increase (decrease) in 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w:t>
            </w:r>
            <w:bookmarkStart w:id="269" w:name="xdx_401_eus-gaap--IncreaseDecreaseInOthe"/>
            <w:bookmarkEnd w:id="269"/>
          </w:p>
        </w:tc>
      </w:tr>
      <w:tr>
        <w:trPr/>
        <w:tc>
          <w:tcPr>
            <w:tcW w:w="8090" w:type="dxa"/>
            <w:tcBorders/>
            <w:shd w:fill="CCEEFF" w:val="clear"/>
            <w:vAlign w:val="center"/>
          </w:tcPr>
          <w:p>
            <w:pPr>
              <w:pStyle w:val="TableContents"/>
              <w:bidi w:val="0"/>
              <w:spacing w:before="0" w:after="283"/>
              <w:jc w:val="left"/>
              <w:rPr/>
            </w:pPr>
            <w:r>
              <w:rPr/>
              <w:t>Increase (decrease) in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bookmarkStart w:id="270" w:name="xdx_40D_eus-gaap--NetCashProvidedByUsedI"/>
            <w:bookmarkEnd w:id="270"/>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(9,418</w:t>
            </w:r>
          </w:p>
        </w:tc>
        <w:tc>
          <w:tcPr>
            <w:tcW w:w="110" w:type="dxa"/>
            <w:tcBorders/>
            <w:shd w:fill="FFFFFF" w:val="clear"/>
            <w:vAlign w:val="center"/>
          </w:tcPr>
          <w:p>
            <w:pPr>
              <w:pStyle w:val="TableContents"/>
              <w:bidi w:val="0"/>
              <w:spacing w:before="0" w:after="283"/>
              <w:jc w:val="left"/>
              <w:rPr/>
            </w:pPr>
            <w:r>
              <w:rPr/>
              <w:t>)</w:t>
            </w:r>
            <w:bookmarkStart w:id="271" w:name="xdx_40B_eus-gaap--NetCashProvidedByUsedI"/>
            <w:bookmarkEnd w:id="271"/>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2" w:name="xdx_40F_eus-gaap--PaymentsToAcquirePrope"/>
            <w:bookmarkEnd w:id="272"/>
          </w:p>
        </w:tc>
      </w:tr>
      <w:tr>
        <w:trPr/>
        <w:tc>
          <w:tcPr>
            <w:tcW w:w="8090"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(670</w:t>
            </w:r>
          </w:p>
        </w:tc>
        <w:tc>
          <w:tcPr>
            <w:tcW w:w="110" w:type="dxa"/>
            <w:tcBorders/>
            <w:shd w:fill="FFFFFF" w:val="clear"/>
            <w:vAlign w:val="center"/>
          </w:tcPr>
          <w:p>
            <w:pPr>
              <w:pStyle w:val="TableContents"/>
              <w:bidi w:val="0"/>
              <w:spacing w:before="0" w:after="283"/>
              <w:jc w:val="left"/>
              <w:rPr/>
            </w:pPr>
            <w:r>
              <w:rPr/>
              <w:t>)</w:t>
            </w:r>
            <w:bookmarkStart w:id="273" w:name="xdx_400_eus-gaap--PaymentsToAcquireMarke"/>
            <w:bookmarkEnd w:id="273"/>
          </w:p>
        </w:tc>
      </w:tr>
      <w:tr>
        <w:trPr/>
        <w:tc>
          <w:tcPr>
            <w:tcW w:w="8090" w:type="dxa"/>
            <w:tcBorders/>
            <w:shd w:fill="CCEEFF" w:val="clear"/>
            <w:vAlign w:val="center"/>
          </w:tcPr>
          <w:p>
            <w:pPr>
              <w:pStyle w:val="TableContents"/>
              <w:bidi w:val="0"/>
              <w:spacing w:before="0" w:after="283"/>
              <w:jc w:val="left"/>
              <w:rPr/>
            </w:pPr>
            <w:r>
              <w:rPr/>
              <w:t>Investments in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(1,960</w:t>
            </w:r>
          </w:p>
        </w:tc>
        <w:tc>
          <w:tcPr>
            <w:tcW w:w="110" w:type="dxa"/>
            <w:tcBorders/>
            <w:shd w:fill="CCEEFF" w:val="clear"/>
            <w:vAlign w:val="center"/>
          </w:tcPr>
          <w:p>
            <w:pPr>
              <w:pStyle w:val="TableContents"/>
              <w:bidi w:val="0"/>
              <w:spacing w:before="0" w:after="283"/>
              <w:jc w:val="left"/>
              <w:rPr/>
            </w:pPr>
            <w:r>
              <w:rPr/>
              <w:t>)</w:t>
            </w:r>
            <w:bookmarkStart w:id="274" w:name="xdx_405_ecustom--ProceedsFromMaturedMark"/>
            <w:bookmarkEnd w:id="274"/>
          </w:p>
        </w:tc>
      </w:tr>
      <w:tr>
        <w:trPr/>
        <w:tc>
          <w:tcPr>
            <w:tcW w:w="8090" w:type="dxa"/>
            <w:tcBorders/>
            <w:shd w:fill="FFFFFF" w:val="clear"/>
            <w:vAlign w:val="center"/>
          </w:tcPr>
          <w:p>
            <w:pPr>
              <w:pStyle w:val="TableContents"/>
              <w:bidi w:val="0"/>
              <w:spacing w:before="0" w:after="283"/>
              <w:jc w:val="left"/>
              <w:rPr/>
            </w:pPr>
            <w:r>
              <w:rPr/>
              <w:t>Proceeds from matured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13,000</w:t>
            </w:r>
          </w:p>
        </w:tc>
        <w:tc>
          <w:tcPr>
            <w:tcW w:w="110" w:type="dxa"/>
            <w:tcBorders/>
            <w:shd w:fill="FFFFFF" w:val="clear"/>
            <w:vAlign w:val="center"/>
          </w:tcPr>
          <w:p>
            <w:pPr>
              <w:pStyle w:val="TableContents"/>
              <w:bidi w:val="0"/>
              <w:spacing w:before="0" w:after="283"/>
              <w:jc w:val="left"/>
              <w:rPr/>
            </w:pPr>
            <w:r>
              <w:rPr/>
              <w:t> </w:t>
            </w:r>
            <w:bookmarkStart w:id="275" w:name="xdx_405_ecustom--AmountsWithdrawnInRespe"/>
            <w:bookmarkEnd w:id="275"/>
          </w:p>
        </w:tc>
      </w:tr>
      <w:tr>
        <w:trPr/>
        <w:tc>
          <w:tcPr>
            <w:tcW w:w="8090" w:type="dxa"/>
            <w:tcBorders/>
            <w:shd w:fill="CCEEFF" w:val="clear"/>
            <w:vAlign w:val="center"/>
          </w:tcPr>
          <w:p>
            <w:pPr>
              <w:pStyle w:val="TableContents"/>
              <w:bidi w:val="0"/>
              <w:spacing w:before="0" w:after="283"/>
              <w:jc w:val="left"/>
              <w:rPr/>
            </w:pPr>
            <w:r>
              <w:rPr/>
              <w:t>Amounts funded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w:t>
            </w:r>
            <w:bookmarkStart w:id="276" w:name="xdx_408_eus-gaap--NetCashProvidedByUsedI"/>
            <w:bookmarkEnd w:id="276"/>
          </w:p>
        </w:tc>
      </w:tr>
      <w:tr>
        <w:trPr/>
        <w:tc>
          <w:tcPr>
            <w:tcW w:w="809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10,323</w:t>
            </w:r>
          </w:p>
        </w:tc>
        <w:tc>
          <w:tcPr>
            <w:tcW w:w="110" w:type="dxa"/>
            <w:tcBorders/>
            <w:shd w:fill="FFFFFF" w:val="clear"/>
            <w:vAlign w:val="center"/>
          </w:tcPr>
          <w:p>
            <w:pPr>
              <w:pStyle w:val="TableContents"/>
              <w:bidi w:val="0"/>
              <w:spacing w:before="0" w:after="283"/>
              <w:jc w:val="left"/>
              <w:rPr/>
            </w:pPr>
            <w:r>
              <w:rPr/>
              <w:t> </w:t>
            </w:r>
            <w:bookmarkStart w:id="277" w:name="xdx_406_eus-gaap--NetCashProvidedByUsedI"/>
            <w:bookmarkEnd w:id="277"/>
          </w:p>
        </w:tc>
      </w:tr>
      <w:tr>
        <w:trPr/>
        <w:tc>
          <w:tcPr>
            <w:tcW w:w="80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8" w:name="xdx_404_eus-gaap--ProceedsFromWarrantExe"/>
            <w:bookmarkEnd w:id="278"/>
          </w:p>
        </w:tc>
      </w:tr>
      <w:tr>
        <w:trPr/>
        <w:tc>
          <w:tcPr>
            <w:tcW w:w="8090" w:type="dxa"/>
            <w:tcBorders/>
            <w:shd w:fill="FFFFFF" w:val="clear"/>
            <w:vAlign w:val="center"/>
          </w:tcPr>
          <w:p>
            <w:pPr>
              <w:pStyle w:val="TableContents"/>
              <w:bidi w:val="0"/>
              <w:spacing w:before="0" w:after="283"/>
              <w:jc w:val="left"/>
              <w:rPr/>
            </w:pPr>
            <w:r>
              <w:rPr/>
              <w:t>Proceeds from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17,854</w:t>
            </w:r>
          </w:p>
        </w:tc>
        <w:tc>
          <w:tcPr>
            <w:tcW w:w="110" w:type="dxa"/>
            <w:tcBorders/>
            <w:shd w:fill="FFFFFF" w:val="clear"/>
            <w:vAlign w:val="center"/>
          </w:tcPr>
          <w:p>
            <w:pPr>
              <w:pStyle w:val="TableContents"/>
              <w:bidi w:val="0"/>
              <w:spacing w:before="0" w:after="283"/>
              <w:jc w:val="left"/>
              <w:rPr/>
            </w:pPr>
            <w:r>
              <w:rPr/>
              <w:t> </w:t>
            </w:r>
            <w:bookmarkStart w:id="279" w:name="xdx_409_eus-gaap--ProceedsFromIssuanceOf"/>
            <w:bookmarkEnd w:id="279"/>
          </w:p>
        </w:tc>
      </w:tr>
      <w:tr>
        <w:trPr/>
        <w:tc>
          <w:tcPr>
            <w:tcW w:w="8090" w:type="dxa"/>
            <w:tcBorders/>
            <w:shd w:fill="CCEEFF" w:val="clear"/>
            <w:vAlign w:val="center"/>
          </w:tcPr>
          <w:p>
            <w:pPr>
              <w:pStyle w:val="TableContents"/>
              <w:bidi w:val="0"/>
              <w:spacing w:before="0" w:after="283"/>
              <w:jc w:val="left"/>
              <w:rPr/>
            </w:pPr>
            <w:r>
              <w:rPr/>
              <w:t>Proceeds from issuance of shares, net of $</w:t>
            </w:r>
            <w:bookmarkStart w:id="280" w:name="xdx_905_eus-gaap--PaymentsOfStockIssuanc"/>
            <w:bookmarkEnd w:id="280"/>
            <w:r>
              <w:rPr/>
              <w:t>22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281" w:name="xdx_409_eus-gaap--NetCashProvidedByUsedI"/>
            <w:bookmarkEnd w:id="281"/>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17,854</w:t>
            </w:r>
          </w:p>
        </w:tc>
        <w:tc>
          <w:tcPr>
            <w:tcW w:w="110" w:type="dxa"/>
            <w:tcBorders/>
            <w:shd w:fill="FFFFFF" w:val="clear"/>
            <w:vAlign w:val="center"/>
          </w:tcPr>
          <w:p>
            <w:pPr>
              <w:pStyle w:val="TableContents"/>
              <w:bidi w:val="0"/>
              <w:spacing w:before="0" w:after="283"/>
              <w:jc w:val="left"/>
              <w:rPr/>
            </w:pPr>
            <w:r>
              <w:rPr/>
              <w:t> </w:t>
            </w:r>
            <w:bookmarkStart w:id="282" w:name="xdx_40A_eus-gaap--EffectOfExchangeRateOn"/>
            <w:bookmarkEnd w:id="282"/>
          </w:p>
        </w:tc>
      </w:tr>
      <w:tr>
        <w:trPr/>
        <w:tc>
          <w:tcPr>
            <w:tcW w:w="8090" w:type="dxa"/>
            <w:tcBorders/>
            <w:shd w:fill="CCEE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bookmarkStart w:id="283" w:name="xdx_409_eus-gaap--CashCashEquivalentsRes"/>
            <w:bookmarkEnd w:id="283"/>
          </w:p>
        </w:tc>
      </w:tr>
      <w:tr>
        <w:trPr/>
        <w:tc>
          <w:tcPr>
            <w:tcW w:w="8090" w:type="dxa"/>
            <w:tcBorders/>
            <w:shd w:fill="FFFFFF" w:val="clear"/>
            <w:vAlign w:val="center"/>
          </w:tcPr>
          <w:p>
            <w:pPr>
              <w:pStyle w:val="TableContents"/>
              <w:bidi w:val="0"/>
              <w:spacing w:before="0" w:after="283"/>
              <w:jc w:val="left"/>
              <w:rPr>
                <w:b/>
              </w:rPr>
            </w:pPr>
            <w:r>
              <w:rPr>
                <w:b/>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18,745</w:t>
            </w:r>
          </w:p>
        </w:tc>
        <w:tc>
          <w:tcPr>
            <w:tcW w:w="110" w:type="dxa"/>
            <w:tcBorders/>
            <w:shd w:fill="FFFFFF" w:val="clear"/>
            <w:vAlign w:val="center"/>
          </w:tcPr>
          <w:p>
            <w:pPr>
              <w:pStyle w:val="TableContents"/>
              <w:bidi w:val="0"/>
              <w:spacing w:before="0" w:after="283"/>
              <w:jc w:val="left"/>
              <w:rPr/>
            </w:pPr>
            <w:r>
              <w:rPr/>
              <w:t> </w:t>
            </w:r>
            <w:bookmarkStart w:id="284" w:name="xdx_407_eus-gaap--CashCashEquivalentsRes"/>
            <w:bookmarkEnd w:id="284"/>
          </w:p>
        </w:tc>
      </w:tr>
      <w:tr>
        <w:trPr/>
        <w:tc>
          <w:tcPr>
            <w:tcW w:w="8090" w:type="dxa"/>
            <w:tcBorders/>
            <w:shd w:fill="CCEEFF" w:val="clear"/>
            <w:vAlign w:val="center"/>
          </w:tcPr>
          <w:p>
            <w:pPr>
              <w:pStyle w:val="TableContents"/>
              <w:bidi w:val="0"/>
              <w:spacing w:before="0" w:after="283"/>
              <w:jc w:val="left"/>
              <w:rPr>
                <w:b/>
              </w:rPr>
            </w:pPr>
            <w:r>
              <w:rPr>
                <w:b/>
              </w:rPr>
              <w:t>BALANCE OF 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9,640</w:t>
            </w:r>
          </w:p>
        </w:tc>
        <w:tc>
          <w:tcPr>
            <w:tcW w:w="110" w:type="dxa"/>
            <w:tcBorders/>
            <w:shd w:fill="CCEEFF" w:val="clear"/>
            <w:vAlign w:val="center"/>
          </w:tcPr>
          <w:p>
            <w:pPr>
              <w:pStyle w:val="TableContents"/>
              <w:bidi w:val="0"/>
              <w:spacing w:before="0" w:after="283"/>
              <w:jc w:val="left"/>
              <w:rPr/>
            </w:pPr>
            <w:r>
              <w:rPr/>
              <w:t> </w:t>
            </w:r>
            <w:bookmarkStart w:id="285" w:name="xdx_409_eus-gaap--CashCashEquivalentsRes"/>
            <w:bookmarkEnd w:id="285"/>
          </w:p>
        </w:tc>
      </w:tr>
      <w:tr>
        <w:trPr/>
        <w:tc>
          <w:tcPr>
            <w:tcW w:w="8090" w:type="dxa"/>
            <w:tcBorders/>
            <w:shd w:fill="FFFFFF" w:val="clear"/>
            <w:vAlign w:val="center"/>
          </w:tcPr>
          <w:p>
            <w:pPr>
              <w:pStyle w:val="TableContents"/>
              <w:bidi w:val="0"/>
              <w:spacing w:before="0" w:after="283"/>
              <w:jc w:val="left"/>
              <w:rPr>
                <w:b/>
              </w:rPr>
            </w:pPr>
            <w:r>
              <w:rPr>
                <w:b/>
              </w:rPr>
              <w:t>BALANCE OF 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28,385</w:t>
            </w:r>
          </w:p>
        </w:tc>
        <w:tc>
          <w:tcPr>
            <w:tcW w:w="110" w:type="dxa"/>
            <w:tcBorders/>
            <w:shd w:fill="FFFFFF" w:val="clear"/>
            <w:vAlign w:val="center"/>
          </w:tcPr>
          <w:p>
            <w:pPr>
              <w:pStyle w:val="TableContents"/>
              <w:bidi w:val="0"/>
              <w:spacing w:before="0" w:after="283"/>
              <w:jc w:val="left"/>
              <w:rPr/>
            </w:pPr>
            <w:r>
              <w:rPr/>
              <w:t> </w:t>
            </w:r>
            <w:bookmarkStart w:id="286" w:name="xdx_40F_eus-gaap--NoncashInvestingAndFin"/>
            <w:bookmarkEnd w:id="286"/>
          </w:p>
        </w:tc>
      </w:tr>
      <w:tr>
        <w:trPr/>
        <w:tc>
          <w:tcPr>
            <w:tcW w:w="8090" w:type="dxa"/>
            <w:tcBorders/>
            <w:shd w:fill="CCEEFF" w:val="clear"/>
            <w:vAlign w:val="center"/>
          </w:tcPr>
          <w:p>
            <w:pPr>
              <w:pStyle w:val="TableContents"/>
              <w:bidi w:val="0"/>
              <w:spacing w:before="0" w:after="283"/>
              <w:jc w:val="left"/>
              <w:rPr>
                <w:b/>
              </w:rPr>
            </w:pPr>
            <w:r>
              <w:rPr>
                <w:b/>
              </w:rPr>
              <w:t>SUPPLEMENT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7" w:name="xdx_401_eus-gaap--StockIssued1_i01_zxLv4"/>
            <w:bookmarkEnd w:id="287"/>
          </w:p>
        </w:tc>
      </w:tr>
      <w:tr>
        <w:trPr/>
        <w:tc>
          <w:tcPr>
            <w:tcW w:w="8090" w:type="dxa"/>
            <w:tcBorders/>
            <w:shd w:fill="FFFFFF" w:val="clear"/>
            <w:vAlign w:val="center"/>
          </w:tcPr>
          <w:p>
            <w:pPr>
              <w:pStyle w:val="TableContents"/>
              <w:bidi w:val="0"/>
              <w:spacing w:before="0" w:after="283"/>
              <w:jc w:val="left"/>
              <w:rPr/>
            </w:pPr>
            <w:r>
              <w:rPr/>
              <w:t>Issuance Costs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88" w:name="xdx_406_ecustom--NoncashAcquisitionOfRig"/>
            <w:bookmarkEnd w:id="288"/>
          </w:p>
        </w:tc>
      </w:tr>
      <w:tr>
        <w:trPr/>
        <w:tc>
          <w:tcPr>
            <w:tcW w:w="8090" w:type="dxa"/>
            <w:tcBorders/>
            <w:shd w:fill="CCEEFF" w:val="clear"/>
            <w:vAlign w:val="center"/>
          </w:tcPr>
          <w:p>
            <w:pPr>
              <w:pStyle w:val="TableContents"/>
              <w:bidi w:val="0"/>
              <w:spacing w:before="0" w:after="283"/>
              <w:jc w:val="both"/>
              <w:rPr/>
            </w:pPr>
            <w:r>
              <w:rPr/>
              <w:t xml:space="preserve">Acquisition of right-of-use assets by means of lease liabilities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9" w:name="F_005"/>
      <w:bookmarkEnd w:id="289"/>
      <w:r>
        <w:rPr>
          <w:rFonts w:ascii="Times New Roman;Times;Serif" w:hAnsi="Times New Roman;Times;Serif"/>
          <w:b/>
          <w:i w:val="false"/>
          <w:caps w:val="false"/>
          <w:smallCaps w:val="false"/>
          <w:sz w:val="20"/>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0" w:name="xdx_807_eus-gaap--NatureOfOperations_znS"/>
      <w:bookmarkEnd w:id="290"/>
      <w:r>
        <w:rPr>
          <w:rFonts w:ascii="Times New Roman;Times;Serif" w:hAnsi="Times New Roman;Times;Serif"/>
          <w:b/>
          <w:i w:val="false"/>
          <w:caps w:val="false"/>
          <w:smallCaps w:val="false"/>
          <w:sz w:val="20"/>
        </w:rPr>
        <w:t xml:space="preserve">NOTE 1 - </w:t>
      </w:r>
      <w:bookmarkStart w:id="291" w:name="xdx_821_zDMNbsZhGy7a"/>
      <w:bookmarkEnd w:id="291"/>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carotid product (CGuard™ EPS) combines MicroNet and a self-expandable nitinol stent in a single device to treat carotid artery disease.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received CE Mark approval under the European Medical Device Regulation for the CGuard Prime carotid stent system. On June 23, 2025, the U.S. Food and Drug Administration (“FDA”) granted premarket application (PMA) approval of the CGuard Prime Carotid Stent System in the United States, and in July 2025, the Company announced the official commercial launch of the CGuard Prime carotid stent system in the United States. In the United States, following FDA approval of the PMA of the CGuard Prime Carotid Stent System, the Company markets and sells its product through a direct sales organization. In addition, the Company also markets and sells its product through distributors in international markets, mainly in Europe.</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70"/>
        <w:gridCol w:w="9900"/>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0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ableContents"/>
              <w:bidi w:val="0"/>
              <w:spacing w:before="0" w:after="0"/>
              <w:ind w:left="0" w:right="0" w:hanging="0"/>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accumulated deficit as of June 30, 2025, as well as a history of net losses and negative operating cash flows. The Company expects to continue incurring losses and negative cash flows from operations until its product, CGuard™ EPS, reaches commercial profitability.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condensed consolidated financial statements have been prepared assuming that the Company will continue as a going concern and do not include any adjustments that might result from the outcome of this uncertainty.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raised approximately $</w:t>
            </w:r>
            <w:bookmarkStart w:id="292" w:name="xdx_901_eus-gaap--ProceedsFromIssuanceOf"/>
            <w:bookmarkEnd w:id="292"/>
            <w:r>
              <w:rPr>
                <w:rFonts w:ascii="Times New Roman;Times;Serif" w:hAnsi="Times New Roman;Times;Serif"/>
                <w:b w:val="false"/>
                <w:i w:val="false"/>
                <w:caps w:val="false"/>
                <w:smallCaps w:val="false"/>
                <w:sz w:val="20"/>
              </w:rPr>
              <w:t>40.1 million in gross proceeds through a private placement of common stock and pre-funded warrants. See Note 15 – Subsequent Events for additional information.</w:t>
            </w:r>
          </w:p>
          <w:p>
            <w:pPr>
              <w:pStyle w:val="TableContents"/>
              <w:bidi w:val="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include the continued commercialization of the Company’s product and raising capital through the sale of additional equity securities, debt or capital inflows from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0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Company’s Operations in Israel</w:t>
            </w:r>
          </w:p>
          <w:p>
            <w:pPr>
              <w:pStyle w:val="TableContents"/>
              <w:bidi w:val="0"/>
              <w:spacing w:before="0" w:after="0"/>
              <w:ind w:left="0" w:right="0" w:hanging="0"/>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a terrorist organization and entered a state of war on several fronts. In June 2025, following continued nuclear threats and intelligence assessments indicating imminent attacks, Israel launched a preemptive strike targeting military and nuclear infrastructure inside Iran, aiming to disrupt Iran’s ability to coordinate or escalate hostilities and degrade its nuclear capabilities. Iran responded with multiple waves of drones and ballistic missiles targeting Israeli cities. While most were intercepted, some caused civilian casualties and infrastructure damage. The Israeli military conducted further operations against Iranian assets. After 12 days of hostilities, a ceasefire between Israel and Iran was reached in June 2025. However, the situation remains volatile, and the risk of broader regional escalation involving additional actors persists. As of the date of these consolidated financial statements, conflict continues in parts of the region. The Company’s operations, including its current production facility, are located in Israel. At this time, these activities remain largely unaffected.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and three months ended June 30, 2025 and 2024, the impact of this war on the Company’s results of operations and financial condition was immaterial, but such impact may increase, which could be material, as a result of the continuation, escalation or expansion of such war.</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90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Geopolitical and Military Tensions Between Russia and Ukraine in Europe</w:t>
            </w:r>
          </w:p>
          <w:p>
            <w:pPr>
              <w:pStyle w:val="TableContents"/>
              <w:bidi w:val="0"/>
              <w:spacing w:before="0" w:after="0"/>
              <w:ind w:left="0" w:right="0" w:hanging="0"/>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instability in Russia and Ukraine has had an immaterial impact on the Company’s operations, sales, and future growth prospects in that region as for the six and three months ended June 30, 2025 and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3" w:name="xdx_80E_eus-gaap--BasisOfAccounting_z4aP"/>
      <w:bookmarkEnd w:id="293"/>
      <w:r>
        <w:rPr>
          <w:rFonts w:ascii="Times New Roman;Times;Serif" w:hAnsi="Times New Roman;Times;Serif"/>
          <w:b/>
          <w:i w:val="false"/>
          <w:caps w:val="false"/>
          <w:smallCaps w:val="false"/>
          <w:sz w:val="20"/>
        </w:rPr>
        <w:t xml:space="preserve">NOTE 2 - </w:t>
      </w:r>
      <w:bookmarkStart w:id="294" w:name="xdx_826_zDzajztXD0Yf"/>
      <w:bookmarkEnd w:id="294"/>
      <w:r>
        <w:rPr>
          <w:rFonts w:ascii="Times New Roman;Times;Serif" w:hAnsi="Times New Roman;Times;Serif"/>
          <w:b/>
          <w:i w:val="false"/>
          <w:caps w:val="false"/>
          <w:smallCaps w:val="false"/>
          <w:sz w:val="20"/>
        </w:rPr>
        <w:t>BASIS OF PRESENTATION</w:t>
      </w:r>
    </w:p>
    <w:p>
      <w:pPr>
        <w:pStyle w:val="TextBody"/>
        <w:bidi w:val="0"/>
        <w:spacing w:before="0" w:after="0"/>
        <w:ind w:left="144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on the same basis as the annual consolidated financial statements. In the opinion of the company, all adjustments considered necessary for a fair statement of the results of the interim periods reported herein have been included (consisting only of normal recurring adjustments). These condensed consolidated financial statements and notes thereto are unaudited and should be read in conjunction with the Company’s audited financial statements for the year ended December 31, 2024, as found in the Company’s Annual Report on Form 10-K, filed with the Securities and Exchange Commission on March 12, 2025. The results of operations for the six and three months ended June 30, 2025 are not necessarily indicative of results that could be expected for the entire fiscal year.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5" w:name="xdx_809_eus-gaap--NewAccountingPronounce"/>
      <w:bookmarkEnd w:id="295"/>
      <w:r>
        <w:rPr>
          <w:rFonts w:ascii="Times New Roman;Times;Serif" w:hAnsi="Times New Roman;Times;Serif"/>
          <w:b/>
          <w:i w:val="false"/>
          <w:caps w:val="false"/>
          <w:smallCaps w:val="false"/>
          <w:sz w:val="20"/>
        </w:rPr>
        <w:t xml:space="preserve">NOTE 3 - </w:t>
      </w:r>
      <w:bookmarkStart w:id="296" w:name="xdx_82D_zugTv3SE7wo7"/>
      <w:bookmarkEnd w:id="296"/>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 not yet adopted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and disclosures.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1"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financial statements and disclosures.</w:t>
            </w:r>
          </w:p>
        </w:tc>
      </w:tr>
    </w:tbl>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 w:name="xdx_804_eus-gaap--FairValueDisclosuresTe"/>
      <w:bookmarkEnd w:id="297"/>
      <w:r>
        <w:rPr>
          <w:rFonts w:ascii="Times New Roman;Times;Serif" w:hAnsi="Times New Roman;Times;Serif"/>
          <w:b/>
          <w:i w:val="false"/>
          <w:caps w:val="false"/>
          <w:smallCaps w:val="false"/>
          <w:sz w:val="20"/>
        </w:rPr>
        <w:t xml:space="preserve">NOTE 4 – </w:t>
      </w:r>
      <w:bookmarkStart w:id="298" w:name="xdx_82D_z6wBQgfDxHwc"/>
      <w:bookmarkEnd w:id="298"/>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are used when little or no market data is available. The fair value hierarchy gives the lowest priority to Level 3 inputs.</w:t>
      </w:r>
    </w:p>
    <w:p>
      <w:pPr>
        <w:pStyle w:val="TextBody"/>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bookmarkStart w:id="299" w:name="xdx_89E_eus-gaap--FairValueAssetsMeasure"/>
      <w:bookmarkEnd w:id="299"/>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w:t>
      </w:r>
    </w:p>
    <w:p>
      <w:pPr>
        <w:pStyle w:val="TextBody"/>
        <w:shd w:fill="FFFFFF" w:val="clear"/>
        <w:bidi w:val="0"/>
        <w:spacing w:before="0" w:after="0"/>
        <w:ind w:left="719" w:right="0" w:hanging="0"/>
        <w:jc w:val="both"/>
        <w:rPr>
          <w:caps w:val="false"/>
          <w:smallCaps w:val="false"/>
        </w:rPr>
      </w:pPr>
      <w:r>
        <w:rPr>
          <w:caps w:val="false"/>
          <w:smallCaps w:val="false"/>
        </w:rPr>
        <w:t> </w:t>
      </w:r>
      <w:bookmarkStart w:id="300" w:name="xdx_8BD_zQ9SWgOfCqGj"/>
      <w:bookmarkEnd w:id="300"/>
      <w:r>
        <w:rPr>
          <w:rFonts w:ascii="Times New Roman;Times;Serif" w:hAnsi="Times New Roman;Times;Serif"/>
          <w:b w:val="false"/>
          <w:i w:val="false"/>
          <w:caps w:val="false"/>
          <w:smallCaps w:val="false"/>
          <w:sz w:val="20"/>
        </w:rPr>
        <w:t>SCHEDULE OF FINANCIAL ASSETS SUBJECT TO FAIR VALUE MEASUREMENTS</w:t>
      </w:r>
    </w:p>
    <w:tbl>
      <w:tblPr>
        <w:tblW w:w="4932" w:type="dxa"/>
        <w:jc w:val="left"/>
        <w:tblInd w:w="0" w:type="dxa"/>
        <w:tblLayout w:type="fixed"/>
        <w:tblCellMar>
          <w:top w:w="0" w:type="dxa"/>
          <w:left w:w="0" w:type="dxa"/>
          <w:bottom w:w="0" w:type="dxa"/>
          <w:right w:w="0" w:type="dxa"/>
        </w:tblCellMar>
      </w:tblPr>
      <w:tblGrid>
        <w:gridCol w:w="1880"/>
        <w:gridCol w:w="60"/>
        <w:gridCol w:w="125"/>
        <w:gridCol w:w="485"/>
        <w:gridCol w:w="60"/>
        <w:gridCol w:w="60"/>
        <w:gridCol w:w="133"/>
        <w:gridCol w:w="516"/>
        <w:gridCol w:w="60"/>
        <w:gridCol w:w="60"/>
        <w:gridCol w:w="133"/>
        <w:gridCol w:w="516"/>
        <w:gridCol w:w="60"/>
        <w:gridCol w:w="60"/>
        <w:gridCol w:w="395"/>
        <w:gridCol w:w="254"/>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1" w:name="xdx_493_20250630__us-gaap--FairValueByMe"/>
            <w:bookmarkEnd w:id="301"/>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2" w:name="xdx_495_20250630__us-gaap--FairValueByMe"/>
            <w:bookmarkEnd w:id="302"/>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3" w:name="xdx_491_20250630__us-gaap--FairValueByMe"/>
            <w:bookmarkEnd w:id="303"/>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4" w:name="xdx_493_20250630__us-gaap--FairValueByMe"/>
            <w:bookmarkEnd w:id="304"/>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2025</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05" w:name="xdx_406_eus-gaap--CashAndCashEquivalents"/>
            <w:bookmarkEnd w:id="305"/>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6" w:name="xdx_406_eus-gaap--SecuritiesBorrowedFair"/>
            <w:bookmarkEnd w:id="306"/>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government bonds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103" w:type="dxa"/>
        <w:jc w:val="left"/>
        <w:tblInd w:w="0" w:type="dxa"/>
        <w:tblLayout w:type="fixed"/>
        <w:tblCellMar>
          <w:top w:w="0" w:type="dxa"/>
          <w:left w:w="0" w:type="dxa"/>
          <w:bottom w:w="0" w:type="dxa"/>
          <w:right w:w="0" w:type="dxa"/>
        </w:tblCellMar>
      </w:tblPr>
      <w:tblGrid>
        <w:gridCol w:w="1880"/>
        <w:gridCol w:w="60"/>
        <w:gridCol w:w="125"/>
        <w:gridCol w:w="590"/>
        <w:gridCol w:w="60"/>
        <w:gridCol w:w="60"/>
        <w:gridCol w:w="133"/>
        <w:gridCol w:w="516"/>
        <w:gridCol w:w="60"/>
        <w:gridCol w:w="60"/>
        <w:gridCol w:w="125"/>
        <w:gridCol w:w="590"/>
        <w:gridCol w:w="60"/>
        <w:gridCol w:w="60"/>
        <w:gridCol w:w="395"/>
        <w:gridCol w:w="254"/>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7" w:name="xdx_49D_20241231__us-gaap--FairValueByMe"/>
            <w:bookmarkEnd w:id="307"/>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8" w:name="xdx_49A_20241231__us-gaap--FairValueByMe"/>
            <w:bookmarkEnd w:id="308"/>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3_20241231__us-gaap--FairValueByMe"/>
            <w:bookmarkEnd w:id="309"/>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0" w:name="xdx_49A_20241231__us-gaap--FairValueByMe"/>
            <w:bookmarkEnd w:id="310"/>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2024</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11" w:name="xdx_406_eus-gaap--CashAndCashEquivalents"/>
            <w:bookmarkEnd w:id="311"/>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12" w:name="xdx_406_eus-gaap--SecuritiesBorrowedFair"/>
            <w:bookmarkEnd w:id="312"/>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government bonds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313" w:name="xdx_8AD_z8PTWKVI7l76"/>
      <w:bookmarkEnd w:id="313"/>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equivalents, and marketable securities are classified within Level 1 and Level 2 because it uses quoted market prices or alternative pricing sources and models utilizing market observable inputs to determine their fair value.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June 30, 2025, and December 31, 2024, is $</w:t>
      </w:r>
      <w:bookmarkStart w:id="314" w:name="xdx_900_eus-gaap--SecuritiesBorrowedFair"/>
      <w:bookmarkEnd w:id="314"/>
      <w:r>
        <w:rPr>
          <w:rFonts w:ascii="Times New Roman;Times;Serif" w:hAnsi="Times New Roman;Times;Serif"/>
          <w:b w:val="false"/>
          <w:i w:val="false"/>
          <w:caps w:val="false"/>
          <w:smallCaps w:val="false"/>
          <w:sz w:val="20"/>
        </w:rPr>
        <w:t>7,790 and $</w:t>
      </w:r>
      <w:bookmarkStart w:id="315" w:name="xdx_90F_eus-gaap--SecuritiesBorrowedFair"/>
      <w:bookmarkEnd w:id="315"/>
      <w:r>
        <w:rPr>
          <w:rFonts w:ascii="Times New Roman;Times;Serif" w:hAnsi="Times New Roman;Times;Serif"/>
          <w:b w:val="false"/>
          <w:i w:val="false"/>
          <w:caps w:val="false"/>
          <w:smallCaps w:val="false"/>
          <w:sz w:val="20"/>
        </w:rPr>
        <w:t>15,277 thousand, respectively.</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9_eus-gaap--InvestmentsInDebtAndMa"/>
      <w:bookmarkEnd w:id="316"/>
      <w:r>
        <w:rPr>
          <w:rFonts w:ascii="Times New Roman;Times;Serif" w:hAnsi="Times New Roman;Times;Serif"/>
          <w:b/>
          <w:i w:val="false"/>
          <w:caps w:val="false"/>
          <w:smallCaps w:val="false"/>
          <w:sz w:val="20"/>
        </w:rPr>
        <w:t xml:space="preserve">NOTE 5 - </w:t>
      </w:r>
      <w:bookmarkStart w:id="317" w:name="xdx_822_zPhYaSgdOPej"/>
      <w:bookmarkEnd w:id="317"/>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all of the Company’s marketable securities had contractual maturity of less than one year.</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bookmarkStart w:id="318" w:name="xdx_899_ecustom--ScheduleOfChangesInFair"/>
      <w:bookmarkEnd w:id="318"/>
      <w:r>
        <w:rPr>
          <w:rFonts w:ascii="Times New Roman;Times;Serif" w:hAnsi="Times New Roman;Times;Serif"/>
          <w:b w:val="false"/>
          <w:i w:val="false"/>
          <w:caps w:val="false"/>
          <w:smallCaps w:val="false"/>
          <w:sz w:val="20"/>
        </w:rPr>
        <w:t>The table below sets forth a summary of the changes in the fair value of the Company’s marketable securities for the six-month period ended June 30, 2025, and 2024:</w:t>
      </w:r>
    </w:p>
    <w:p>
      <w:pPr>
        <w:pStyle w:val="TextBody"/>
        <w:shd w:fill="FFFFFF" w:val="clear"/>
        <w:bidi w:val="0"/>
        <w:spacing w:before="0" w:after="0"/>
        <w:ind w:left="719" w:right="0" w:hanging="0"/>
        <w:jc w:val="both"/>
        <w:rPr>
          <w:caps w:val="false"/>
          <w:smallCaps w:val="false"/>
        </w:rPr>
      </w:pPr>
      <w:r>
        <w:rPr>
          <w:caps w:val="false"/>
          <w:smallCaps w:val="false"/>
        </w:rPr>
        <w:t> </w:t>
      </w:r>
      <w:bookmarkStart w:id="319" w:name="xdx_8BD_zGVAIJ9dYkxk"/>
      <w:bookmarkEnd w:id="319"/>
      <w:r>
        <w:rPr>
          <w:rFonts w:ascii="Times New Roman;Times;Serif" w:hAnsi="Times New Roman;Times;Serif"/>
          <w:b w:val="false"/>
          <w:i w:val="false"/>
          <w:caps w:val="false"/>
          <w:smallCaps w:val="false"/>
          <w:sz w:val="20"/>
        </w:rPr>
        <w:t>SCHEDULE OF CHANGES IN FAIR VALUE OF MARKETABLE SECURITIES</w:t>
      </w:r>
    </w:p>
    <w:tbl>
      <w:tblPr>
        <w:tblW w:w="5608" w:type="dxa"/>
        <w:jc w:val="left"/>
        <w:tblInd w:w="0" w:type="dxa"/>
        <w:tblLayout w:type="fixed"/>
        <w:tblCellMar>
          <w:top w:w="0" w:type="dxa"/>
          <w:left w:w="0" w:type="dxa"/>
          <w:bottom w:w="0" w:type="dxa"/>
          <w:right w:w="0" w:type="dxa"/>
        </w:tblCellMar>
      </w:tblPr>
      <w:tblGrid>
        <w:gridCol w:w="3215"/>
        <w:gridCol w:w="60"/>
        <w:gridCol w:w="172"/>
        <w:gridCol w:w="896"/>
        <w:gridCol w:w="110"/>
        <w:gridCol w:w="82"/>
        <w:gridCol w:w="82"/>
        <w:gridCol w:w="896"/>
        <w:gridCol w:w="9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4_20250101__20250630_zujqUnANBAx9"/>
            <w:bookmarkEnd w:id="320"/>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321" w:name="xdx_493_20240101__20240630_z5E7ZEgw7KVd"/>
            <w:bookmarkEnd w:id="321"/>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161"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 thousands)</w:t>
            </w:r>
            <w:bookmarkStart w:id="322" w:name="xdx_40A_eus-gaap--MarketableSecuritiesCu"/>
            <w:bookmarkEnd w:id="322"/>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15,721</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29,383</w:t>
            </w:r>
          </w:p>
        </w:tc>
        <w:tc>
          <w:tcPr>
            <w:tcW w:w="95" w:type="dxa"/>
            <w:tcBorders/>
            <w:shd w:fill="CCEEFF" w:val="clear"/>
            <w:vAlign w:val="center"/>
          </w:tcPr>
          <w:p>
            <w:pPr>
              <w:pStyle w:val="TableContents"/>
              <w:bidi w:val="0"/>
              <w:spacing w:before="0" w:after="283"/>
              <w:jc w:val="left"/>
              <w:rPr/>
            </w:pPr>
            <w:r>
              <w:rPr/>
              <w:t> </w:t>
            </w:r>
            <w:bookmarkStart w:id="323" w:name="xdx_40C_eus-gaap--PaymentsToAcquireMarke"/>
            <w:bookmarkEnd w:id="323"/>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11,749</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1,960</w:t>
            </w:r>
          </w:p>
        </w:tc>
        <w:tc>
          <w:tcPr>
            <w:tcW w:w="95" w:type="dxa"/>
            <w:tcBorders/>
            <w:shd w:fill="FFFFFF" w:val="clear"/>
            <w:vAlign w:val="center"/>
          </w:tcPr>
          <w:p>
            <w:pPr>
              <w:pStyle w:val="TableContents"/>
              <w:bidi w:val="0"/>
              <w:spacing w:before="0" w:after="283"/>
              <w:jc w:val="left"/>
              <w:rPr/>
            </w:pPr>
            <w:r>
              <w:rPr/>
              <w:t> </w:t>
            </w:r>
            <w:bookmarkStart w:id="324" w:name="xdx_40D_eus-gaap--ProceedsFromSaleAndMat"/>
            <w:bookmarkEnd w:id="324"/>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(19,760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5" w:name="xdx_404_eus-gaap--ProceedsFromInterestRe"/>
            <w:bookmarkEnd w:id="325"/>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6" w:name="xdx_402_ecustom--ChangesInFairValueMarke"/>
            <w:bookmarkEnd w:id="326"/>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fair value during the period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p>
        </w:tc>
        <w:tc>
          <w:tcPr>
            <w:tcW w:w="95" w:type="dxa"/>
            <w:tcBorders/>
            <w:shd w:fill="CCEEFF" w:val="clear"/>
            <w:vAlign w:val="center"/>
          </w:tcPr>
          <w:p>
            <w:pPr>
              <w:pStyle w:val="TableContents"/>
              <w:bidi w:val="0"/>
              <w:spacing w:before="0" w:after="283"/>
              <w:jc w:val="left"/>
              <w:rPr/>
            </w:pPr>
            <w:r>
              <w:rPr/>
              <w:t> </w:t>
            </w:r>
            <w:bookmarkStart w:id="327" w:name="xdx_402_eus-gaap--MarketableSecuritiesCu"/>
            <w:bookmarkEnd w:id="327"/>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7,865</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18,778</w:t>
            </w:r>
          </w:p>
        </w:tc>
        <w:tc>
          <w:tcPr>
            <w:tcW w:w="9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328" w:name="xdx_8A4_zIkkF8whPdo4"/>
      <w:bookmarkEnd w:id="328"/>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to measure and recognize its investments in debt securities in accordance with Accounting Standards Codification (“ASC 825”), Financial Instruments as the Company manages its portfolio and evaluates the performance on a fair value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0_eus-gaap--StockholdersEquityNote"/>
      <w:bookmarkEnd w:id="329"/>
      <w:r>
        <w:rPr>
          <w:rFonts w:ascii="Times New Roman;Times;Serif" w:hAnsi="Times New Roman;Times;Serif"/>
          <w:b/>
          <w:i w:val="false"/>
          <w:caps w:val="false"/>
          <w:smallCaps w:val="false"/>
          <w:sz w:val="20"/>
        </w:rPr>
        <w:t>NOTE 6 -</w:t>
      </w:r>
      <w:bookmarkStart w:id="330" w:name="xdx_82E_zsIHIA2wZTjh"/>
      <w:bookmarkEnd w:id="330"/>
      <w:r>
        <w:rPr>
          <w:rFonts w:ascii="Times New Roman;Times;Serif" w:hAnsi="Times New Roman;Times;Serif"/>
          <w:b/>
          <w:i w:val="false"/>
          <w:caps w:val="false"/>
          <w:smallCaps w:val="false"/>
          <w:sz w:val="20"/>
        </w:rPr>
        <w:t xml:space="preserve"> EQUITY: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there were </w:t>
            </w:r>
            <w:bookmarkStart w:id="331" w:name="xdx_900_eus-gaap--PreferredStockSharesOu"/>
            <w:bookmarkEnd w:id="331"/>
            <w:r>
              <w:rPr>
                <w:rFonts w:ascii="Times New Roman;Times;Serif" w:hAnsi="Times New Roman;Times;Serif"/>
                <w:b w:val="false"/>
                <w:i w:val="false"/>
                <w:caps w:val="false"/>
                <w:smallCaps w:val="false"/>
                <w:sz w:val="20"/>
              </w:rPr>
              <w:t xml:space="preserve">1,718 shares of Series C Preferred Stock outstanding, convertible into an aggregate of </w:t>
            </w:r>
            <w:bookmarkStart w:id="332" w:name="xdx_90B_eus-gaap--PreferredStockConverti"/>
            <w:bookmarkEnd w:id="332"/>
            <w:r>
              <w:rPr>
                <w:rFonts w:ascii="Times New Roman;Times;Serif" w:hAnsi="Times New Roman;Times;Serif"/>
                <w:b w:val="false"/>
                <w:i w:val="false"/>
                <w:caps w:val="false"/>
                <w:smallCaps w:val="false"/>
                <w:sz w:val="20"/>
              </w:rPr>
              <w:t>7,952 shares of the Company’s common stock, with a total stated value of $</w:t>
            </w:r>
            <w:bookmarkStart w:id="333" w:name="xdx_905_eus-gaap--PreferredStockValue_iI"/>
            <w:bookmarkEnd w:id="333"/>
            <w:r>
              <w:rPr>
                <w:rFonts w:ascii="Times New Roman;Times;Serif" w:hAnsi="Times New Roman;Times;Serif"/>
                <w:b w:val="false"/>
                <w:i w:val="false"/>
                <w:caps w:val="false"/>
                <w:smallCaps w:val="false"/>
                <w:sz w:val="20"/>
              </w:rPr>
              <w:t>10,997.</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there are </w:t>
            </w:r>
            <w:bookmarkStart w:id="334" w:name="xdx_906_eus-gaap--ClassOfWarrantOrRightN"/>
            <w:bookmarkEnd w:id="334"/>
            <w:r>
              <w:rPr>
                <w:rFonts w:ascii="Times New Roman;Times;Serif" w:hAnsi="Times New Roman;Times;Serif"/>
                <w:b w:val="false"/>
                <w:i w:val="false"/>
                <w:caps w:val="false"/>
                <w:smallCaps w:val="false"/>
                <w:sz w:val="20"/>
              </w:rPr>
              <w:t>24,735,716 outstanding pre-funded warrants.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 Company has outstanding warrants to purchase an aggregate of </w:t>
            </w:r>
            <w:bookmarkStart w:id="335" w:name="xdx_90F_eus-gaap--ClassOfWarrantOrRightN"/>
            <w:bookmarkEnd w:id="335"/>
            <w:r>
              <w:rPr>
                <w:rFonts w:ascii="Times New Roman;Times;Serif" w:hAnsi="Times New Roman;Times;Serif"/>
                <w:b w:val="false"/>
                <w:i w:val="false"/>
                <w:caps w:val="false"/>
                <w:smallCaps w:val="false"/>
                <w:sz w:val="20"/>
              </w:rPr>
              <w:t>38,440,649 shares of common stock as follows:</w:t>
            </w:r>
          </w:p>
        </w:tc>
      </w:tr>
    </w:tbl>
    <w:p>
      <w:pPr>
        <w:pStyle w:val="TextBody"/>
        <w:bidi w:val="0"/>
        <w:spacing w:before="0" w:after="0"/>
        <w:jc w:val="left"/>
        <w:rPr>
          <w:caps w:val="false"/>
          <w:smallCaps w:val="false"/>
        </w:rPr>
      </w:pPr>
      <w:bookmarkStart w:id="336" w:name="xdx_89B_eus-gaap--ScheduleOfStockholders"/>
      <w:bookmarkEnd w:id="336"/>
      <w:r>
        <w:rPr>
          <w:caps w:val="false"/>
          <w:smallCaps w:val="false"/>
        </w:rPr>
        <w:t> </w:t>
      </w:r>
      <w:bookmarkStart w:id="337" w:name="xdx_8B2_zAlj5mN0csnd"/>
      <w:bookmarkEnd w:id="337"/>
      <w:r>
        <w:rPr>
          <w:rFonts w:ascii="Times New Roman;Times;Serif" w:hAnsi="Times New Roman;Times;Serif"/>
          <w:b w:val="false"/>
          <w:i w:val="false"/>
          <w:caps w:val="false"/>
          <w:smallCaps w:val="false"/>
          <w:sz w:val="20"/>
        </w:rPr>
        <w:t>SCHEDULE OF ISSUANCE OF WARRANTS TO PURCHASE COMMON STOCK</w:t>
      </w:r>
    </w:p>
    <w:tbl>
      <w:tblPr>
        <w:tblW w:w="6183" w:type="dxa"/>
        <w:jc w:val="left"/>
        <w:tblInd w:w="0" w:type="dxa"/>
        <w:tblLayout w:type="fixed"/>
        <w:tblCellMar>
          <w:top w:w="0" w:type="dxa"/>
          <w:left w:w="0" w:type="dxa"/>
          <w:bottom w:w="0" w:type="dxa"/>
          <w:right w:w="0" w:type="dxa"/>
        </w:tblCellMar>
      </w:tblPr>
      <w:tblGrid>
        <w:gridCol w:w="1460"/>
        <w:gridCol w:w="60"/>
        <w:gridCol w:w="108"/>
        <w:gridCol w:w="1711"/>
        <w:gridCol w:w="60"/>
        <w:gridCol w:w="60"/>
        <w:gridCol w:w="202"/>
        <w:gridCol w:w="957"/>
        <w:gridCol w:w="60"/>
        <w:gridCol w:w="60"/>
        <w:gridCol w:w="1445"/>
      </w:tblGrid>
      <w:tr>
        <w:trPr/>
        <w:tc>
          <w:tcPr>
            <w:tcW w:w="1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underlying</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8" w:name="xdx_98B_eus-gaap--ClassOfWarrantOrRightN"/>
            <w:bookmarkEnd w:id="338"/>
          </w:p>
        </w:tc>
        <w:tc>
          <w:tcPr>
            <w:tcW w:w="1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9" w:name="xdx_98B_eus-gaap--ClassOfWarrantOrRightE"/>
            <w:bookmarkEnd w:id="339"/>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0" w:name="xdx_90F_ecustom--ClassOfWarrantOrRighstD"/>
            <w:bookmarkEnd w:id="340"/>
            <w:r>
              <w:rPr>
                <w:rFonts w:ascii="Times New Roman;Times;Serif" w:hAnsi="Times New Roman;Times;Serif"/>
                <w:b w:val="false"/>
                <w:i w:val="false"/>
                <w:caps w:val="false"/>
                <w:smallCaps w:val="false"/>
                <w:sz w:val="20"/>
              </w:rPr>
              <w:t>October 16, 2025</w:t>
            </w:r>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1" w:name="xdx_984_eus-gaap--ClassOfWarrantOrRightN"/>
            <w:bookmarkEnd w:id="341"/>
          </w:p>
        </w:tc>
        <w:tc>
          <w:tcPr>
            <w:tcW w:w="1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2" w:name="xdx_982_eus-gaap--ClassOfWarrantOrRightE"/>
            <w:bookmarkEnd w:id="342"/>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3" w:name="xdx_902_eus-gaap--ClassOfWarrantOrRighst"/>
            <w:bookmarkEnd w:id="343"/>
            <w:r>
              <w:rPr>
                <w:rFonts w:ascii="Times New Roman;Times;Serif" w:hAnsi="Times New Roman;Times;Serif"/>
                <w:b w:val="false"/>
                <w:i w:val="false"/>
                <w:caps w:val="false"/>
                <w:smallCaps w:val="false"/>
                <w:sz w:val="20"/>
              </w:rPr>
              <w:t>February 8, 2026</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I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4" w:name="xdx_981_eus-gaap--ClassOfWarrantOrRightN"/>
            <w:bookmarkEnd w:id="344"/>
          </w:p>
        </w:tc>
        <w:tc>
          <w:tcPr>
            <w:tcW w:w="1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11,505,326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5" w:name="xdx_98C_eus-gaap--ClassOfWarrantOrRightE"/>
            <w:bookmarkEnd w:id="345"/>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6" w:name="xdx_90C_ecustom--ClassOfWarrantOrRighstD"/>
            <w:bookmarkEnd w:id="346"/>
            <w:r>
              <w:rPr>
                <w:rFonts w:ascii="Times New Roman;Times;Serif" w:hAnsi="Times New Roman;Times;Serif"/>
                <w:b w:val="false"/>
                <w:i w:val="false"/>
                <w:caps w:val="false"/>
                <w:smallCaps w:val="false"/>
                <w:sz w:val="20"/>
              </w:rPr>
              <w:t>*</w:t>
            </w:r>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J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7" w:name="xdx_986_eus-gaap--ClassOfWarrantOrRightN"/>
            <w:bookmarkEnd w:id="347"/>
          </w:p>
        </w:tc>
        <w:tc>
          <w:tcPr>
            <w:tcW w:w="1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12,914,086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8" w:name="xdx_986_eus-gaap--ClassOfWarrantOrRightE"/>
            <w:bookmarkEnd w:id="348"/>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49" w:name="xdx_900_ecustom--ClassOfWarrantOrRighstD"/>
            <w:bookmarkEnd w:id="349"/>
            <w:r>
              <w:rPr>
                <w:rFonts w:ascii="Times New Roman;Times;Serif" w:hAnsi="Times New Roman;Times;Serif"/>
                <w:b w:val="false"/>
                <w:i w:val="false"/>
                <w:caps w:val="false"/>
                <w:smallCaps w:val="false"/>
                <w:sz w:val="20"/>
              </w:rPr>
              <w:t>*</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0" w:name="xdx_989_eus-gaap--ClassOfWarrantOrRightN"/>
            <w:bookmarkEnd w:id="350"/>
          </w:p>
        </w:tc>
        <w:tc>
          <w:tcPr>
            <w:tcW w:w="1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12,914,078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1" w:name="xdx_985_eus-gaap--ClassOfWarrantOrRightE"/>
            <w:bookmarkEnd w:id="351"/>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52" w:name="xdx_90A_ecustom--ClassOfWarrantOrRighstD"/>
            <w:bookmarkEnd w:id="352"/>
            <w:r>
              <w:rPr>
                <w:rFonts w:ascii="Times New Roman;Times;Serif" w:hAnsi="Times New Roman;Times;Serif"/>
                <w:b w:val="false"/>
                <w:i w:val="false"/>
                <w:caps w:val="false"/>
                <w:smallCaps w:val="false"/>
                <w:sz w:val="20"/>
              </w:rPr>
              <w:t>*</w:t>
            </w:r>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3" w:name="xdx_98A_eus-gaap--ClassOfWarrantOrRightN"/>
            <w:bookmarkEnd w:id="353"/>
          </w:p>
        </w:tc>
        <w:tc>
          <w:tcPr>
            <w:tcW w:w="1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38,440,649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54" w:name="xdx_F0A_zagDmCaoMTh4"/>
            <w:bookmarkEnd w:id="354"/>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355" w:name="xdx_F10_zpKikdRbYojb"/>
            <w:bookmarkEnd w:id="355"/>
            <w:r>
              <w:rPr>
                <w:rFonts w:ascii="Times New Roman;Times;Serif" w:hAnsi="Times New Roman;Times;Serif"/>
                <w:sz w:val="20"/>
              </w:rPr>
              <w:t>The Series I Warrants,  Series J Warrants and Series K Warrants have a term of the earlier of (i) May 15, 2028 and (ii) (A) in the case of the Series I Warrants, 20 trading days following the Company’s announcement of receipt of Premarket Approval from the Food and Drug Administration (“FDA”) for the CGuard Prime Carotid Stent System (135 cm), (B) in the case of the Series J Warrants, 20 trading days following the Company’s announcement of receipt of FDA approval for the SwitchGuard and CGuard Prime 80 and (C) in the case on the Series K Warrants, 20 trading days following the end of the fourth fiscal quarter after the fiscal quarter in which the first commercial sales of the CGuard Carotid Stent System in the United States begins.</w:t>
            </w:r>
          </w:p>
        </w:tc>
      </w:tr>
    </w:tbl>
    <w:p>
      <w:pPr>
        <w:pStyle w:val="TextBody"/>
        <w:bidi w:val="0"/>
        <w:spacing w:before="0" w:after="0"/>
        <w:ind w:left="0" w:right="0" w:hanging="0"/>
        <w:jc w:val="both"/>
        <w:rPr>
          <w:caps w:val="false"/>
          <w:smallCaps w:val="false"/>
        </w:rPr>
      </w:pPr>
      <w:bookmarkStart w:id="356" w:name="xdx_8A3_zXBawbfWmGIb"/>
      <w:bookmarkEnd w:id="35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and three months ended June 30, 2025, a total of </w:t>
      </w:r>
      <w:bookmarkStart w:id="357" w:name="xdx_903_ecustom--ClassOfWarrantsExpired_"/>
      <w:bookmarkEnd w:id="357"/>
      <w:r>
        <w:rPr>
          <w:rFonts w:ascii="Times New Roman;Times;Serif" w:hAnsi="Times New Roman;Times;Serif"/>
          <w:b w:val="false"/>
          <w:i w:val="false"/>
          <w:caps w:val="false"/>
          <w:smallCaps w:val="false"/>
          <w:sz w:val="20"/>
        </w:rPr>
        <w:t>419,063 Series F Warrants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Series I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Company’s announcement on June 24, 2025, that the FDA approved the PMA of the CGuard Prime Carotid Stent System in the United States, and as of June 30, 2025, an aggregate of </w:t>
      </w:r>
      <w:bookmarkStart w:id="358" w:name="xdx_90D_ecustom--StockIssuedDuringPeriod"/>
      <w:bookmarkEnd w:id="358"/>
      <w:r>
        <w:rPr>
          <w:rFonts w:ascii="Times New Roman;Times;Serif" w:hAnsi="Times New Roman;Times;Serif"/>
          <w:b w:val="false"/>
          <w:i w:val="false"/>
          <w:caps w:val="false"/>
          <w:smallCaps w:val="false"/>
          <w:sz w:val="20"/>
        </w:rPr>
        <w:t xml:space="preserve">1,408,752 Series I Warrants to purchase </w:t>
      </w:r>
      <w:bookmarkStart w:id="359" w:name="xdx_906_ecustom--StockIssuedDuringPeriod"/>
      <w:bookmarkEnd w:id="359"/>
      <w:r>
        <w:rPr>
          <w:rFonts w:ascii="Times New Roman;Times;Serif" w:hAnsi="Times New Roman;Times;Serif"/>
          <w:b w:val="false"/>
          <w:i w:val="false"/>
          <w:caps w:val="false"/>
          <w:smallCaps w:val="false"/>
          <w:sz w:val="20"/>
        </w:rPr>
        <w:t>1,408,752 shares of common stock at an exercise price of $</w:t>
      </w:r>
      <w:bookmarkStart w:id="360" w:name="xdx_904_eus-gaap--ClassOfWarrantOrRightE"/>
      <w:bookmarkEnd w:id="360"/>
      <w:r>
        <w:rPr>
          <w:rFonts w:ascii="Times New Roman;Times;Serif" w:hAnsi="Times New Roman;Times;Serif"/>
          <w:b w:val="false"/>
          <w:i w:val="false"/>
          <w:caps w:val="false"/>
          <w:smallCaps w:val="false"/>
          <w:sz w:val="20"/>
        </w:rPr>
        <w:t>1.3827 per share were exercised  for aggregate proceeds of approximately $</w:t>
      </w:r>
      <w:bookmarkStart w:id="361" w:name="xdx_90D_ecustom--ProceedsFromWarrantExer"/>
      <w:bookmarkEnd w:id="361"/>
      <w:r>
        <w:rPr>
          <w:rFonts w:ascii="Times New Roman;Times;Serif" w:hAnsi="Times New Roman;Times;Serif"/>
          <w:b w:val="false"/>
          <w:i w:val="false"/>
          <w:caps w:val="false"/>
          <w:smallCaps w:val="false"/>
          <w:sz w:val="20"/>
        </w:rPr>
        <w:t>1,948 thousand dollars. The Series I Warrants have a term of the earlier of (i) May 15, 2028 and (ii) 20 trading days following the Company’s announcement of receipt of Premarket Approval from the FDA for the CGuard Prime Carotid Stent System (135 cm). . See Note 15 – Subsequent Events for additional warrants exercises after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 Company had </w:t>
      </w:r>
      <w:bookmarkStart w:id="362" w:name="xdx_905_eus-gaap--CapitalUnitsAuthorized"/>
      <w:bookmarkEnd w:id="362"/>
      <w:r>
        <w:rPr>
          <w:rFonts w:ascii="Times New Roman;Times;Serif" w:hAnsi="Times New Roman;Times;Serif"/>
          <w:b w:val="false"/>
          <w:i w:val="false"/>
          <w:caps w:val="false"/>
          <w:smallCaps w:val="false"/>
          <w:sz w:val="20"/>
        </w:rPr>
        <w:t>155,000,000 authorized shares of capital stock, par value $</w:t>
      </w:r>
      <w:bookmarkStart w:id="363" w:name="xdx_90F_ecustom--CapitalStockParOrStated"/>
      <w:bookmarkEnd w:id="363"/>
      <w:r>
        <w:rPr>
          <w:rFonts w:ascii="Times New Roman;Times;Serif" w:hAnsi="Times New Roman;Times;Serif"/>
          <w:b w:val="false"/>
          <w:i w:val="false"/>
          <w:caps w:val="false"/>
          <w:smallCaps w:val="false"/>
          <w:sz w:val="20"/>
        </w:rPr>
        <w:t xml:space="preserve">0.0001 per share, of which </w:t>
      </w:r>
      <w:bookmarkStart w:id="364" w:name="xdx_90B_eus-gaap--CommonStockSharesAutho"/>
      <w:bookmarkEnd w:id="364"/>
      <w:r>
        <w:rPr>
          <w:rFonts w:ascii="Times New Roman;Times;Serif" w:hAnsi="Times New Roman;Times;Serif"/>
          <w:b w:val="false"/>
          <w:i w:val="false"/>
          <w:caps w:val="false"/>
          <w:smallCaps w:val="false"/>
          <w:sz w:val="20"/>
        </w:rPr>
        <w:t xml:space="preserve">150,000,000 are shares of common stock and </w:t>
      </w:r>
      <w:bookmarkStart w:id="365" w:name="xdx_900_eus-gaap--PreferredStockSharesAu"/>
      <w:bookmarkEnd w:id="365"/>
      <w:r>
        <w:rPr>
          <w:rFonts w:ascii="Times New Roman;Times;Serif" w:hAnsi="Times New Roman;Times;Serif"/>
          <w:b w:val="false"/>
          <w:i w:val="false"/>
          <w:caps w:val="false"/>
          <w:smallCaps w:val="false"/>
          <w:sz w:val="20"/>
        </w:rPr>
        <w:t>5,000,000 are shares of “blank check” preferred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granted </w:t>
            </w:r>
            <w:bookmarkStart w:id="366" w:name="xdx_907_eus-gaap--StockIssuedDuringPerio"/>
            <w:bookmarkEnd w:id="366"/>
            <w:r>
              <w:rPr>
                <w:rFonts w:ascii="Times New Roman;Times;Serif" w:hAnsi="Times New Roman;Times;Serif"/>
                <w:b w:val="false"/>
                <w:i w:val="false"/>
                <w:caps w:val="false"/>
                <w:smallCaps w:val="false"/>
                <w:sz w:val="20"/>
              </w:rPr>
              <w:t>3,053,064 restricted shares of the Company’s common stock to employees and directors. The shares to employees are subject to a three-year vesting period, with one-third of such awards vesting each year. The shares to directors are subject to a one-year vesting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shares was approximately $</w:t>
      </w:r>
      <w:bookmarkStart w:id="367" w:name="xdx_90A_eus-gaap--StockIssuedDuringPerio"/>
      <w:bookmarkEnd w:id="367"/>
      <w:r>
        <w:rPr>
          <w:rFonts w:ascii="Times New Roman;Times;Serif" w:hAnsi="Times New Roman;Times;Serif"/>
          <w:b w:val="false"/>
          <w:i w:val="false"/>
          <w:caps w:val="false"/>
          <w:smallCaps w:val="false"/>
          <w:sz w:val="20"/>
        </w:rPr>
        <w:t>8.07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granted </w:t>
      </w:r>
      <w:bookmarkStart w:id="368" w:name="xdx_908_eus-gaap--StockIssuedDuringPerio"/>
      <w:bookmarkEnd w:id="368"/>
      <w:r>
        <w:rPr>
          <w:rFonts w:ascii="Times New Roman;Times;Serif" w:hAnsi="Times New Roman;Times;Serif"/>
          <w:b w:val="false"/>
          <w:i w:val="false"/>
          <w:caps w:val="false"/>
          <w:smallCaps w:val="false"/>
          <w:sz w:val="20"/>
        </w:rPr>
        <w:t>558,417 restricted share units of the Company’s common stock to the chief executive officer. The shares are subject to a three-year vesting period, with one-third of such awards vesting each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 units was approximately $</w:t>
      </w:r>
      <w:bookmarkStart w:id="369" w:name="xdx_90C_eus-gaap--StockIssuedDuringPerio"/>
      <w:bookmarkEnd w:id="369"/>
      <w:r>
        <w:rPr>
          <w:rFonts w:ascii="Times New Roman;Times;Serif" w:hAnsi="Times New Roman;Times;Serif"/>
          <w:b w:val="false"/>
          <w:i w:val="false"/>
          <w:caps w:val="false"/>
          <w:smallCaps w:val="false"/>
          <w:sz w:val="20"/>
        </w:rPr>
        <w:t>1.54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granted to employees and directors options to purchase a total of </w:t>
      </w:r>
      <w:bookmarkStart w:id="370" w:name="xdx_901_eus-gaap--ShareBasedCompensation"/>
      <w:bookmarkEnd w:id="370"/>
      <w:r>
        <w:rPr>
          <w:rFonts w:ascii="Times New Roman;Times;Serif" w:hAnsi="Times New Roman;Times;Serif"/>
          <w:b w:val="false"/>
          <w:i w:val="false"/>
          <w:caps w:val="false"/>
          <w:smallCaps w:val="false"/>
          <w:sz w:val="20"/>
        </w:rPr>
        <w:t>1,022,274 shares of the Company’s common stock. The options have exercise prices ranging from $</w:t>
      </w:r>
      <w:bookmarkStart w:id="371" w:name="xdx_904_eus-gaap--ShareBasedCompensation"/>
      <w:bookmarkEnd w:id="371"/>
      <w:r>
        <w:rPr>
          <w:rFonts w:ascii="Times New Roman;Times;Serif" w:hAnsi="Times New Roman;Times;Serif"/>
          <w:b w:val="false"/>
          <w:i w:val="false"/>
          <w:caps w:val="false"/>
          <w:smallCaps w:val="false"/>
          <w:sz w:val="20"/>
        </w:rPr>
        <w:t>2.24-$</w:t>
      </w:r>
      <w:bookmarkStart w:id="372" w:name="xdx_904_eus-gaap--ShareBasedCompensation"/>
      <w:bookmarkEnd w:id="372"/>
      <w:r>
        <w:rPr>
          <w:rFonts w:ascii="Times New Roman;Times;Serif" w:hAnsi="Times New Roman;Times;Serif"/>
          <w:b w:val="false"/>
          <w:i w:val="false"/>
          <w:caps w:val="false"/>
          <w:smallCaps w:val="false"/>
          <w:sz w:val="20"/>
        </w:rPr>
        <w:t>2.76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calculating the fair value of the above options, the Company used the following assumptions: dividend yield of </w:t>
      </w:r>
      <w:bookmarkStart w:id="373" w:name="xdx_902_eus-gaap--ShareBasedCompensation"/>
      <w:bookmarkEnd w:id="373"/>
      <w:r>
        <w:rPr>
          <w:rFonts w:ascii="Times New Roman;Times;Serif" w:hAnsi="Times New Roman;Times;Serif"/>
          <w:b w:val="false"/>
          <w:i w:val="false"/>
          <w:caps w:val="false"/>
          <w:smallCaps w:val="false"/>
          <w:sz w:val="20"/>
        </w:rPr>
        <w:t xml:space="preserve">0% and expected term of </w:t>
      </w:r>
      <w:bookmarkStart w:id="374" w:name="xdx_90E_eus-gaap--SharebasedCompensation"/>
      <w:bookmarkEnd w:id="374"/>
      <w:r>
        <w:rPr>
          <w:rFonts w:ascii="Times New Roman;Times;Serif" w:hAnsi="Times New Roman;Times;Serif"/>
          <w:b w:val="false"/>
          <w:i w:val="false"/>
          <w:caps w:val="false"/>
          <w:smallCaps w:val="false"/>
          <w:sz w:val="20"/>
        </w:rPr>
        <w:t>5.5-</w:t>
      </w:r>
      <w:bookmarkStart w:id="375" w:name="xdx_905_eus-gaap--SharebasedCompensation"/>
      <w:bookmarkEnd w:id="375"/>
      <w:r>
        <w:rPr>
          <w:rFonts w:ascii="Times New Roman;Times;Serif" w:hAnsi="Times New Roman;Times;Serif"/>
          <w:b w:val="false"/>
          <w:i w:val="false"/>
          <w:caps w:val="false"/>
          <w:smallCaps w:val="false"/>
          <w:sz w:val="20"/>
        </w:rPr>
        <w:t xml:space="preserve">6.5 years; expected volatility ranging from </w:t>
      </w:r>
      <w:bookmarkStart w:id="376" w:name="xdx_905_eus-gaap--ShareBasedCompensation"/>
      <w:bookmarkEnd w:id="376"/>
      <w:r>
        <w:rPr>
          <w:rFonts w:ascii="Times New Roman;Times;Serif" w:hAnsi="Times New Roman;Times;Serif"/>
          <w:b w:val="false"/>
          <w:i w:val="false"/>
          <w:caps w:val="false"/>
          <w:smallCaps w:val="false"/>
          <w:sz w:val="20"/>
        </w:rPr>
        <w:t>81.44%-</w:t>
      </w:r>
      <w:bookmarkStart w:id="377" w:name="xdx_908_eus-gaap--ShareBasedCompensation"/>
      <w:bookmarkEnd w:id="377"/>
      <w:r>
        <w:rPr>
          <w:rFonts w:ascii="Times New Roman;Times;Serif" w:hAnsi="Times New Roman;Times;Serif"/>
          <w:b w:val="false"/>
          <w:i w:val="false"/>
          <w:caps w:val="false"/>
          <w:smallCaps w:val="false"/>
          <w:sz w:val="20"/>
        </w:rPr>
        <w:t xml:space="preserve">92.69%; and risk-free interest rate ranging from </w:t>
      </w:r>
      <w:bookmarkStart w:id="378" w:name="xdx_90E_eus-gaap--ShareBasedCompensation"/>
      <w:bookmarkEnd w:id="378"/>
      <w:r>
        <w:rPr>
          <w:rFonts w:ascii="Times New Roman;Times;Serif" w:hAnsi="Times New Roman;Times;Serif"/>
          <w:b w:val="false"/>
          <w:i w:val="false"/>
          <w:caps w:val="false"/>
          <w:smallCaps w:val="false"/>
          <w:sz w:val="20"/>
        </w:rPr>
        <w:t>3.89%-</w:t>
      </w:r>
      <w:bookmarkStart w:id="379" w:name="xdx_901_eus-gaap--ShareBasedCompensation"/>
      <w:bookmarkEnd w:id="379"/>
      <w:r>
        <w:rPr>
          <w:rFonts w:ascii="Times New Roman;Times;Serif" w:hAnsi="Times New Roman;Times;Serif"/>
          <w:b w:val="false"/>
          <w:i w:val="false"/>
          <w:caps w:val="false"/>
          <w:smallCaps w:val="false"/>
          <w:sz w:val="20"/>
        </w:rPr>
        <w:t>4.68%.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options, using the Black-Scholes option-pricing model, was approximately $</w:t>
      </w:r>
      <w:bookmarkStart w:id="380" w:name="xdx_902_eus-gaap--SharebasedCompensation"/>
      <w:bookmarkEnd w:id="380"/>
      <w:r>
        <w:rPr>
          <w:rFonts w:ascii="Times New Roman;Times;Serif" w:hAnsi="Times New Roman;Times;Serif"/>
          <w:b w:val="false"/>
          <w:i w:val="false"/>
          <w:caps w:val="false"/>
          <w:smallCaps w:val="false"/>
          <w:sz w:val="20"/>
        </w:rPr>
        <w:t>2.08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1" w:name="xdx_80D_eus-gaap--RelatedPartyTransactio"/>
      <w:bookmarkEnd w:id="381"/>
      <w:r>
        <w:rPr>
          <w:rFonts w:ascii="Times New Roman;Times;Serif" w:hAnsi="Times New Roman;Times;Serif"/>
          <w:b/>
          <w:i w:val="false"/>
          <w:caps w:val="false"/>
          <w:smallCaps w:val="false"/>
          <w:sz w:val="20"/>
        </w:rPr>
        <w:t>NOTE 7 –</w:t>
      </w:r>
      <w:bookmarkStart w:id="382" w:name="xdx_822_zZe7WoKoRYma"/>
      <w:bookmarkEnd w:id="382"/>
      <w:r>
        <w:rPr>
          <w:rFonts w:ascii="Times New Roman;Times;Serif" w:hAnsi="Times New Roman;Times;Serif"/>
          <w:b/>
          <w:i w:val="false"/>
          <w:caps w:val="false"/>
          <w:smallCaps w:val="false"/>
          <w:sz w:val="20"/>
        </w:rPr>
        <w:t xml:space="preserve"> RELATED PARTIES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and three months ended June 30, 2024 and 2025, a member of the immediate family of the CEO provided certain administrative services in connection with the Company’s expansion to the U.S. in the amounts of $</w:t>
      </w:r>
      <w:bookmarkStart w:id="383" w:name="xdx_907_eus-gaap--RelatedPartyTransactio"/>
      <w:bookmarkEnd w:id="383"/>
      <w:r>
        <w:rPr>
          <w:rFonts w:ascii="Times New Roman;Times;Serif" w:hAnsi="Times New Roman;Times;Serif"/>
          <w:b w:val="false"/>
          <w:i w:val="false"/>
          <w:caps w:val="false"/>
          <w:smallCaps w:val="false"/>
          <w:sz w:val="20"/>
        </w:rPr>
        <w:t>30 and $</w:t>
      </w:r>
      <w:bookmarkStart w:id="384" w:name="xdx_90B_eus-gaap--RelatedPartyTransactio"/>
      <w:bookmarkEnd w:id="384"/>
      <w:r>
        <w:rPr>
          <w:rFonts w:ascii="Times New Roman;Times;Serif" w:hAnsi="Times New Roman;Times;Serif"/>
          <w:b w:val="false"/>
          <w:i w:val="false"/>
          <w:caps w:val="false"/>
          <w:smallCaps w:val="false"/>
          <w:sz w:val="20"/>
        </w:rPr>
        <w:t>15 thousand, for 2024, and $</w:t>
      </w:r>
      <w:bookmarkStart w:id="385" w:name="xdx_904_eus-gaap--RelatedPartyTransactio"/>
      <w:bookmarkEnd w:id="385"/>
      <w:r>
        <w:rPr>
          <w:rFonts w:ascii="Times New Roman;Times;Serif" w:hAnsi="Times New Roman;Times;Serif"/>
          <w:b w:val="false"/>
          <w:i w:val="false"/>
          <w:caps w:val="false"/>
          <w:smallCaps w:val="false"/>
          <w:sz w:val="20"/>
        </w:rPr>
        <w:t>48 and $</w:t>
      </w:r>
      <w:bookmarkStart w:id="386" w:name="xdx_905_eus-gaap--RelatedPartyTransactio"/>
      <w:bookmarkEnd w:id="386"/>
      <w:r>
        <w:rPr>
          <w:rFonts w:ascii="Times New Roman;Times;Serif" w:hAnsi="Times New Roman;Times;Serif"/>
          <w:b w:val="false"/>
          <w:i w:val="false"/>
          <w:caps w:val="false"/>
          <w:smallCaps w:val="false"/>
          <w:sz w:val="20"/>
        </w:rPr>
        <w:t>24 thousand for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7" w:name="xdx_80A_eus-gaap--EarningsPerShareTextBl"/>
      <w:bookmarkEnd w:id="387"/>
      <w:r>
        <w:rPr>
          <w:rFonts w:ascii="Times New Roman;Times;Serif" w:hAnsi="Times New Roman;Times;Serif"/>
          <w:b/>
          <w:i w:val="false"/>
          <w:caps w:val="false"/>
          <w:smallCaps w:val="false"/>
          <w:sz w:val="20"/>
        </w:rPr>
        <w:t xml:space="preserve">NOTE 8 - </w:t>
      </w:r>
      <w:bookmarkStart w:id="388" w:name="xdx_822_zDeGpUHFlRi6"/>
      <w:bookmarkEnd w:id="388"/>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computed by dividing the net loss for the period by the weighted average number of shares of common stock, pre-funded warrants and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common stock related to outstanding options, warrants, unvested restricted stock, unvested restricted stock units and Series C preferred stock, which were excluded from the calculations of diluted loss per share were </w:t>
      </w:r>
      <w:bookmarkStart w:id="389" w:name="xdx_903_eus-gaap--AntidilutiveSecurities"/>
      <w:bookmarkStart w:id="390" w:name="xdx_90A_eus-gaap--AntidilutiveSecurities"/>
      <w:bookmarkEnd w:id="389"/>
      <w:bookmarkEnd w:id="390"/>
      <w:r>
        <w:rPr>
          <w:rFonts w:ascii="Times New Roman;Times;Serif" w:hAnsi="Times New Roman;Times;Serif"/>
          <w:b w:val="false"/>
          <w:i w:val="false"/>
          <w:caps w:val="false"/>
          <w:smallCaps w:val="false"/>
          <w:sz w:val="20"/>
        </w:rPr>
        <w:t xml:space="preserve">49,201,359 and </w:t>
      </w:r>
      <w:bookmarkStart w:id="391" w:name="xdx_903_eus-gaap--AntidilutiveSecurities"/>
      <w:bookmarkStart w:id="392" w:name="xdx_90F_eus-gaap--AntidilutiveSecurities"/>
      <w:bookmarkEnd w:id="391"/>
      <w:bookmarkEnd w:id="392"/>
      <w:r>
        <w:rPr>
          <w:rFonts w:ascii="Times New Roman;Times;Serif" w:hAnsi="Times New Roman;Times;Serif"/>
          <w:b w:val="false"/>
          <w:i w:val="false"/>
          <w:caps w:val="false"/>
          <w:smallCaps w:val="false"/>
          <w:sz w:val="20"/>
        </w:rPr>
        <w:t>48,550,189 for the six and three-month periods ended June 30, 2025 and 2024, respectively. This amount includes</w:t>
      </w:r>
      <w:bookmarkStart w:id="393" w:name="xdx_909_eus-gaap--ShareBasedCompensation"/>
      <w:bookmarkEnd w:id="393"/>
      <w:r>
        <w:rPr>
          <w:rFonts w:ascii="Times New Roman;Times;Serif" w:hAnsi="Times New Roman;Times;Serif"/>
          <w:b w:val="false"/>
          <w:i w:val="false"/>
          <w:caps w:val="false"/>
          <w:smallCaps w:val="false"/>
          <w:sz w:val="20"/>
        </w:rPr>
        <w:t xml:space="preserve"> 5,456,724 and </w:t>
      </w:r>
      <w:bookmarkStart w:id="394" w:name="xdx_905_eus-gaap--ShareBasedCompensation"/>
      <w:bookmarkEnd w:id="394"/>
      <w:r>
        <w:rPr>
          <w:rFonts w:ascii="Times New Roman;Times;Serif" w:hAnsi="Times New Roman;Times;Serif"/>
          <w:b w:val="false"/>
          <w:i w:val="false"/>
          <w:caps w:val="false"/>
          <w:smallCaps w:val="false"/>
          <w:sz w:val="20"/>
        </w:rPr>
        <w:t>3,744,828 of unvested restricted stock included in the number of issued and outstanding shares for the six and three-month periods ended June 30, 2025 and 2024,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395" w:name="xdx_89F_eus-gaap--ScheduleOfWeightedAver"/>
      <w:bookmarkEnd w:id="395"/>
      <w:r>
        <w:rPr>
          <w:rFonts w:ascii="Times New Roman;Times;Serif" w:hAnsi="Times New Roman;Times;Serif"/>
          <w:b w:val="false"/>
          <w:i w:val="false"/>
          <w:caps w:val="false"/>
          <w:smallCaps w:val="false"/>
          <w:sz w:val="20"/>
        </w:rPr>
        <w:t>For the six and three months ended June 30, 2025    and 2024, the weighted average number of ordinary shares used in computing net loss per share - basic and diluted was as follows:</w:t>
      </w:r>
    </w:p>
    <w:p>
      <w:pPr>
        <w:pStyle w:val="TextBody"/>
        <w:bidi w:val="0"/>
        <w:spacing w:before="0" w:after="0"/>
        <w:ind w:left="1080" w:right="0" w:hanging="0"/>
        <w:jc w:val="both"/>
        <w:rPr>
          <w:caps w:val="false"/>
          <w:smallCaps w:val="false"/>
        </w:rPr>
      </w:pPr>
      <w:r>
        <w:rPr>
          <w:caps w:val="false"/>
          <w:smallCaps w:val="false"/>
        </w:rPr>
        <w:t> </w:t>
      </w:r>
      <w:bookmarkStart w:id="396" w:name="xdx_8B1_zHeFcm41cQ38"/>
      <w:bookmarkEnd w:id="396"/>
      <w:r>
        <w:rPr>
          <w:rFonts w:ascii="Times New Roman;Times;Serif" w:hAnsi="Times New Roman;Times;Serif"/>
          <w:b w:val="false"/>
          <w:i w:val="false"/>
          <w:caps w:val="false"/>
          <w:smallCaps w:val="false"/>
          <w:sz w:val="20"/>
        </w:rPr>
        <w:t>SCHEDULE OF WEIGHTED AVERAGE NUMBER OF SHARES</w:t>
      </w:r>
    </w:p>
    <w:tbl>
      <w:tblPr>
        <w:tblW w:w="10205" w:type="dxa"/>
        <w:jc w:val="left"/>
        <w:tblInd w:w="0" w:type="dxa"/>
        <w:tblLayout w:type="fixed"/>
        <w:tblCellMar>
          <w:top w:w="0" w:type="dxa"/>
          <w:left w:w="0" w:type="dxa"/>
          <w:bottom w:w="0" w:type="dxa"/>
          <w:right w:w="0" w:type="dxa"/>
        </w:tblCellMar>
      </w:tblPr>
      <w:tblGrid>
        <w:gridCol w:w="5418"/>
        <w:gridCol w:w="60"/>
        <w:gridCol w:w="65"/>
        <w:gridCol w:w="1037"/>
        <w:gridCol w:w="65"/>
        <w:gridCol w:w="65"/>
        <w:gridCol w:w="65"/>
        <w:gridCol w:w="1037"/>
        <w:gridCol w:w="60"/>
        <w:gridCol w:w="60"/>
        <w:gridCol w:w="61"/>
        <w:gridCol w:w="975"/>
        <w:gridCol w:w="61"/>
        <w:gridCol w:w="61"/>
        <w:gridCol w:w="61"/>
        <w:gridCol w:w="975"/>
        <w:gridCol w:w="79"/>
      </w:tblGrid>
      <w:tr>
        <w:trPr/>
        <w:tc>
          <w:tcPr>
            <w:tcW w:w="54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7" w:name="xdx_497_20250401__20250630_zSaGzlsMUgj"/>
            <w:bookmarkEnd w:id="397"/>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bookmarkStart w:id="398" w:name="xdx_49B_20240401__20240630_zFS6gyTbCrla"/>
            <w:bookmarkEnd w:id="398"/>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9" w:name="xdx_497_20250101__20250630_zGB3d8UvdOq6"/>
            <w:bookmarkEnd w:id="399"/>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bookmarkStart w:id="400" w:name="xdx_49B_20240101__20240630_ztChf0Ua52I4"/>
            <w:bookmarkEnd w:id="400"/>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79" w:type="dxa"/>
            <w:tcBorders/>
            <w:vAlign w:val="center"/>
          </w:tcPr>
          <w:p>
            <w:pPr>
              <w:pStyle w:val="TableContents"/>
              <w:bidi w:val="0"/>
              <w:spacing w:before="0" w:after="283"/>
              <w:jc w:val="center"/>
              <w:rPr/>
            </w:pPr>
            <w:r>
              <w:rPr/>
              <w:t> </w:t>
            </w:r>
          </w:p>
        </w:tc>
      </w:tr>
      <w:tr>
        <w:trPr/>
        <w:tc>
          <w:tcPr>
            <w:tcW w:w="5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4"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79" w:type="dxa"/>
            <w:tcBorders/>
            <w:vAlign w:val="center"/>
          </w:tcPr>
          <w:p>
            <w:pPr>
              <w:pStyle w:val="TableContents"/>
              <w:bidi w:val="0"/>
              <w:spacing w:before="0" w:after="283"/>
              <w:jc w:val="left"/>
              <w:rPr/>
            </w:pPr>
            <w:r>
              <w:rPr/>
              <w:t> </w:t>
            </w:r>
          </w:p>
        </w:tc>
      </w:tr>
      <w:tr>
        <w:trPr/>
        <w:tc>
          <w:tcPr>
            <w:tcW w:w="54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1"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79" w:type="dxa"/>
            <w:tcBorders/>
            <w:vAlign w:val="center"/>
          </w:tcPr>
          <w:p>
            <w:pPr>
              <w:pStyle w:val="TableContents"/>
              <w:bidi w:val="0"/>
              <w:spacing w:before="0" w:after="283"/>
              <w:jc w:val="center"/>
              <w:rPr/>
            </w:pPr>
            <w:r>
              <w:rPr/>
              <w:t> </w:t>
            </w:r>
            <w:bookmarkStart w:id="401" w:name="xdx_400_eus-gaap--WeightedAverageNumberO"/>
            <w:bookmarkEnd w:id="401"/>
          </w:p>
        </w:tc>
      </w:tr>
      <w:tr>
        <w:trPr/>
        <w:tc>
          <w:tcPr>
            <w:tcW w:w="5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25,292,694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20,362,124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24,419,172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19,487,016</w:t>
            </w:r>
          </w:p>
        </w:tc>
        <w:tc>
          <w:tcPr>
            <w:tcW w:w="79" w:type="dxa"/>
            <w:tcBorders/>
            <w:shd w:fill="CCEEFF" w:val="clear"/>
            <w:vAlign w:val="center"/>
          </w:tcPr>
          <w:p>
            <w:pPr>
              <w:pStyle w:val="TableContents"/>
              <w:bidi w:val="0"/>
              <w:spacing w:before="0" w:after="283"/>
              <w:jc w:val="left"/>
              <w:rPr/>
            </w:pPr>
            <w:r>
              <w:rPr/>
              <w:t> </w:t>
            </w:r>
            <w:bookmarkStart w:id="402" w:name="xdx_402_eus-gaap--WeightedAverageNumberO"/>
            <w:bookmarkEnd w:id="402"/>
          </w:p>
        </w:tc>
      </w:tr>
      <w:tr>
        <w:trPr/>
        <w:tc>
          <w:tcPr>
            <w:tcW w:w="5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Vested restricted stock units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941,744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834,115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188,222</w:t>
            </w:r>
          </w:p>
        </w:tc>
        <w:tc>
          <w:tcPr>
            <w:tcW w:w="79" w:type="dxa"/>
            <w:tcBorders/>
            <w:shd w:fill="FFFFFF" w:val="clear"/>
            <w:vAlign w:val="center"/>
          </w:tcPr>
          <w:p>
            <w:pPr>
              <w:pStyle w:val="TableContents"/>
              <w:bidi w:val="0"/>
              <w:spacing w:before="0" w:after="283"/>
              <w:jc w:val="left"/>
              <w:rPr/>
            </w:pPr>
            <w:r>
              <w:rPr/>
              <w:t> </w:t>
            </w:r>
            <w:bookmarkStart w:id="403" w:name="xdx_40B_ecustom--WeightedAveragePrefunde"/>
            <w:bookmarkEnd w:id="403"/>
          </w:p>
        </w:tc>
      </w:tr>
      <w:tr>
        <w:trPr/>
        <w:tc>
          <w:tcPr>
            <w:tcW w:w="54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Pre-funded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24,769,462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15,515,802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25,255,373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15,385,212</w:t>
            </w:r>
          </w:p>
        </w:tc>
        <w:tc>
          <w:tcPr>
            <w:tcW w:w="79" w:type="dxa"/>
            <w:tcBorders/>
            <w:shd w:fill="CCEEFF" w:val="clear"/>
            <w:vAlign w:val="center"/>
          </w:tcPr>
          <w:p>
            <w:pPr>
              <w:pStyle w:val="TableContents"/>
              <w:bidi w:val="0"/>
              <w:spacing w:before="0" w:after="283"/>
              <w:jc w:val="left"/>
              <w:rPr/>
            </w:pPr>
            <w:r>
              <w:rPr/>
              <w:t> </w:t>
            </w:r>
          </w:p>
        </w:tc>
      </w:tr>
      <w:tr>
        <w:trPr/>
        <w:tc>
          <w:tcPr>
            <w:tcW w:w="54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Weighted average number of ordinary shares used in computing 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bookmarkStart w:id="404" w:name="xdx_90C_eus-gaap--WeightedAverageNumberO"/>
            <w:bookmarkStart w:id="405" w:name="xdx_90F_eus-gaap--WeightedAverageNumberO"/>
            <w:bookmarkEnd w:id="404"/>
            <w:bookmarkEnd w:id="405"/>
            <w:r>
              <w:rPr>
                <w:rFonts w:ascii="Times New Roman;Times;Serif" w:hAnsi="Times New Roman;Times;Serif"/>
                <w:sz w:val="20"/>
              </w:rPr>
              <w:t>51,003,900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bookmarkStart w:id="406" w:name="xdx_90D_eus-gaap--WeightedAverageNumberO"/>
            <w:bookmarkStart w:id="407" w:name="xdx_907_eus-gaap--WeightedAverageNumberO"/>
            <w:bookmarkEnd w:id="406"/>
            <w:bookmarkEnd w:id="407"/>
            <w:r>
              <w:rPr>
                <w:rFonts w:ascii="Times New Roman;Times;Serif" w:hAnsi="Times New Roman;Times;Serif"/>
                <w:sz w:val="20"/>
              </w:rPr>
              <w:t>35,877,926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sz w:val="20"/>
              </w:rPr>
            </w:pPr>
            <w:bookmarkStart w:id="408" w:name="xdx_90C_eus-gaap--WeightedAverageNumberO"/>
            <w:bookmarkStart w:id="409" w:name="xdx_901_eus-gaap--WeightedAverageNumberO"/>
            <w:bookmarkEnd w:id="408"/>
            <w:bookmarkEnd w:id="409"/>
            <w:r>
              <w:rPr>
                <w:rFonts w:ascii="Times New Roman;Times;Serif" w:hAnsi="Times New Roman;Times;Serif"/>
                <w:sz w:val="20"/>
              </w:rPr>
              <w:t>50,508,660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sz w:val="20"/>
              </w:rPr>
            </w:pPr>
            <w:bookmarkStart w:id="410" w:name="xdx_902_eus-gaap--WeightedAverageNumberO"/>
            <w:bookmarkStart w:id="411" w:name="xdx_900_eus-gaap--WeightedAverageNumberO"/>
            <w:bookmarkEnd w:id="410"/>
            <w:bookmarkEnd w:id="411"/>
            <w:r>
              <w:rPr>
                <w:rFonts w:ascii="Times New Roman;Times;Serif" w:hAnsi="Times New Roman;Times;Serif"/>
                <w:sz w:val="20"/>
              </w:rPr>
              <w:t>35,060,450</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2" w:name="xdx_8A3_zZ3Bt5pbzLg"/>
      <w:bookmarkEnd w:id="4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413" w:name="xdx_804_eus-gaap--LesseeOperatingLeasesT"/>
      <w:bookmarkEnd w:id="413"/>
      <w:r>
        <w:rPr>
          <w:rFonts w:ascii="Times New Roman;Times;Serif" w:hAnsi="Times New Roman;Times;Serif"/>
          <w:b/>
          <w:i w:val="false"/>
          <w:caps w:val="false"/>
          <w:smallCaps w:val="false"/>
          <w:sz w:val="20"/>
          <w:shd w:fill="FFFFFF" w:val="clear"/>
        </w:rPr>
        <w:t xml:space="preserve">NOTE 9 – </w:t>
      </w:r>
      <w:bookmarkStart w:id="414" w:name="xdx_82D_zTS9GHDHr8Rk"/>
      <w:bookmarkEnd w:id="414"/>
      <w:r>
        <w:rPr>
          <w:rFonts w:ascii="Times New Roman;Times;Serif" w:hAnsi="Times New Roman;Times;Serif"/>
          <w:b/>
          <w:i w:val="false"/>
          <w:caps w:val="false"/>
          <w:smallCaps w:val="false"/>
          <w:sz w:val="20"/>
          <w:shd w:fill="FFFFFF" w:val="clear"/>
        </w:rPr>
        <w:t>LEASE AGREEMENTS</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2025, the Company took possession of Suite 280 at its U.S. headquarters in Miami, Florida, following the landlord’s completion of construction. This date represents the commencement of the lease for Suite 280, in accordance with the terms of the U.S. Lease. In connection with the commencement, the Company recognized an increase of </w:t>
            </w:r>
            <w:bookmarkStart w:id="415" w:name="xdx_90E_eus-gaap--OperatingLeaseLiabilit"/>
            <w:bookmarkStart w:id="416" w:name="xdx_906_eus-gaap--OperatingLeaseRightOfU"/>
            <w:bookmarkEnd w:id="415"/>
            <w:bookmarkEnd w:id="416"/>
            <w:r>
              <w:rPr>
                <w:rFonts w:ascii="Times New Roman;Times;Serif" w:hAnsi="Times New Roman;Times;Serif"/>
                <w:b w:val="false"/>
                <w:i w:val="false"/>
                <w:caps w:val="false"/>
                <w:smallCaps w:val="false"/>
                <w:sz w:val="20"/>
              </w:rPr>
              <w:t>302 thousand dollars in both operating lease right-of-use assets and operating lease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2025, the Company amended the Israeli Lease, extending the lease term through December 31, 2028, and leasing additional space within the facility. The amendment resulted in an increase of </w:t>
            </w:r>
            <w:bookmarkStart w:id="417" w:name="xdx_90D_eus-gaap--OperatingLeaseLiabilit"/>
            <w:bookmarkStart w:id="418" w:name="xdx_90D_eus-gaap--OperatingLeaseRightOfU"/>
            <w:bookmarkEnd w:id="417"/>
            <w:bookmarkEnd w:id="418"/>
            <w:r>
              <w:rPr>
                <w:rFonts w:ascii="Times New Roman;Times;Serif" w:hAnsi="Times New Roman;Times;Serif"/>
                <w:b w:val="false"/>
                <w:i w:val="false"/>
                <w:caps w:val="false"/>
                <w:smallCaps w:val="false"/>
                <w:sz w:val="20"/>
              </w:rPr>
              <w:t>692 thousand dollars to the Company’s operating lease right-of-use assets and lease liabilities to reflect the extended lease term and additional leased area.</w:t>
            </w:r>
          </w:p>
        </w:tc>
      </w:tr>
    </w:tbl>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9" w:name="xdx_80A_eus-gaap--FinancialInstrumentsDi"/>
      <w:bookmarkEnd w:id="419"/>
      <w:r>
        <w:rPr>
          <w:rFonts w:ascii="Times New Roman;Times;Serif" w:hAnsi="Times New Roman;Times;Serif"/>
          <w:b/>
          <w:i w:val="false"/>
          <w:caps w:val="false"/>
          <w:smallCaps w:val="false"/>
          <w:sz w:val="20"/>
        </w:rPr>
        <w:t xml:space="preserve">NOTE 10 - </w:t>
      </w:r>
      <w:bookmarkStart w:id="420" w:name="xdx_826_z2r0AisqHl7b"/>
      <w:bookmarkEnd w:id="420"/>
      <w:r>
        <w:rPr>
          <w:rFonts w:ascii="Times New Roman;Times;Serif" w:hAnsi="Times New Roman;Times;Serif"/>
          <w:b/>
          <w:i w:val="false"/>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approximate their fair value either because these amounts are presented at fair value, due to the relatively short-term maturities of certain instruments or they are measured using interest rates close to prevailing market rates.</w:t>
      </w:r>
    </w:p>
    <w:p>
      <w:pPr>
        <w:pStyle w:val="TextBody"/>
        <w:bidi w:val="0"/>
        <w:spacing w:before="0" w:after="0"/>
        <w:ind w:left="1152"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allowance for expected credit loss was immaterial.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1" w:name="xdx_80A_eus-gaap--InventoryDisclosureTex"/>
      <w:bookmarkEnd w:id="421"/>
      <w:r>
        <w:rPr>
          <w:rFonts w:ascii="Times New Roman;Times;Serif" w:hAnsi="Times New Roman;Times;Serif"/>
          <w:b/>
          <w:i w:val="false"/>
          <w:caps w:val="false"/>
          <w:smallCaps w:val="false"/>
          <w:sz w:val="20"/>
        </w:rPr>
        <w:t xml:space="preserve">NOTE 11- </w:t>
      </w:r>
      <w:bookmarkStart w:id="422" w:name="xdx_826_zydY5kmlQhgh"/>
      <w:bookmarkEnd w:id="422"/>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3" w:name="xdx_8BD_zdhy0pDNyXPf"/>
      <w:bookmarkStart w:id="424" w:name="xdx_89F_eus-gaap--ScheduleOfInventoryCur"/>
      <w:bookmarkEnd w:id="423"/>
      <w:bookmarkEnd w:id="424"/>
      <w:r>
        <w:rPr>
          <w:rFonts w:ascii="Times New Roman;Times;Serif" w:hAnsi="Times New Roman;Times;Serif"/>
          <w:b w:val="false"/>
          <w:i w:val="false"/>
          <w:caps w:val="false"/>
          <w:smallCaps w:val="false"/>
          <w:sz w:val="20"/>
        </w:rPr>
        <w:t>SCHEDULE OF INVENTORIES </w:t>
      </w:r>
    </w:p>
    <w:tbl>
      <w:tblPr>
        <w:tblW w:w="4393" w:type="dxa"/>
        <w:jc w:val="left"/>
        <w:tblInd w:w="0" w:type="dxa"/>
        <w:tblLayout w:type="fixed"/>
        <w:tblCellMar>
          <w:top w:w="0" w:type="dxa"/>
          <w:left w:w="0" w:type="dxa"/>
          <w:bottom w:w="0" w:type="dxa"/>
          <w:right w:w="0" w:type="dxa"/>
        </w:tblCellMar>
      </w:tblPr>
      <w:tblGrid>
        <w:gridCol w:w="2240"/>
        <w:gridCol w:w="60"/>
        <w:gridCol w:w="148"/>
        <w:gridCol w:w="576"/>
        <w:gridCol w:w="60"/>
        <w:gridCol w:w="60"/>
        <w:gridCol w:w="240"/>
        <w:gridCol w:w="934"/>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3_20250630_z0Wz9yqjXtV6"/>
            <w:bookmarkEnd w:id="425"/>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A_20241231_zG48TQe5RyDb"/>
            <w:bookmarkEnd w:id="426"/>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 thousands)</w:t>
            </w:r>
          </w:p>
        </w:tc>
        <w:tc>
          <w:tcPr>
            <w:tcW w:w="75" w:type="dxa"/>
            <w:tcBorders/>
            <w:vAlign w:val="center"/>
          </w:tcPr>
          <w:p>
            <w:pPr>
              <w:pStyle w:val="TableContents"/>
              <w:bidi w:val="0"/>
              <w:spacing w:before="0" w:after="283"/>
              <w:jc w:val="left"/>
              <w:rPr/>
            </w:pPr>
            <w:r>
              <w:rPr/>
              <w:t> </w:t>
            </w:r>
            <w:bookmarkStart w:id="427" w:name="xdx_40E_eus-gaap--InventoryFinishedGoods"/>
            <w:bookmarkEnd w:id="427"/>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75" w:type="dxa"/>
            <w:tcBorders/>
            <w:shd w:fill="CCEEFF" w:val="clear"/>
            <w:vAlign w:val="center"/>
          </w:tcPr>
          <w:p>
            <w:pPr>
              <w:pStyle w:val="TableContents"/>
              <w:bidi w:val="0"/>
              <w:spacing w:before="0" w:after="283"/>
              <w:jc w:val="left"/>
              <w:rPr/>
            </w:pPr>
            <w:r>
              <w:rPr/>
              <w:t> </w:t>
            </w:r>
            <w:bookmarkStart w:id="428" w:name="xdx_40D_eus-gaap--InventoryWorkInProcess"/>
            <w:bookmarkEnd w:id="428"/>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 in process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638</w:t>
            </w:r>
          </w:p>
        </w:tc>
        <w:tc>
          <w:tcPr>
            <w:tcW w:w="75" w:type="dxa"/>
            <w:tcBorders/>
            <w:shd w:fill="FFFFFF" w:val="clear"/>
            <w:vAlign w:val="center"/>
          </w:tcPr>
          <w:p>
            <w:pPr>
              <w:pStyle w:val="TableContents"/>
              <w:bidi w:val="0"/>
              <w:spacing w:before="0" w:after="283"/>
              <w:jc w:val="left"/>
              <w:rPr/>
            </w:pPr>
            <w:r>
              <w:rPr/>
              <w:t> </w:t>
            </w:r>
            <w:bookmarkStart w:id="429" w:name="xdx_401_eus-gaap--InventoryRawMaterialsA"/>
            <w:bookmarkEnd w:id="429"/>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Raw materials and supplies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1,914</w:t>
            </w:r>
          </w:p>
        </w:tc>
        <w:tc>
          <w:tcPr>
            <w:tcW w:w="75" w:type="dxa"/>
            <w:tcBorders/>
            <w:shd w:fill="CCEEFF" w:val="clear"/>
            <w:vAlign w:val="center"/>
          </w:tcPr>
          <w:p>
            <w:pPr>
              <w:pStyle w:val="TableContents"/>
              <w:bidi w:val="0"/>
              <w:spacing w:before="0" w:after="283"/>
              <w:jc w:val="left"/>
              <w:rPr/>
            </w:pPr>
            <w:r>
              <w:rPr/>
              <w:t> </w:t>
            </w:r>
            <w:bookmarkStart w:id="430" w:name="xdx_40F_eus-gaap--InventoryNet_iTI_pn3n3"/>
            <w:bookmarkEnd w:id="430"/>
          </w:p>
        </w:tc>
      </w:tr>
      <w:tr>
        <w:trPr/>
        <w:tc>
          <w:tcPr>
            <w:tcW w:w="2240" w:type="dxa"/>
            <w:tcBorders/>
            <w:shd w:fill="FFFFFF" w:val="clear"/>
            <w:vAlign w:val="center"/>
          </w:tcPr>
          <w:p>
            <w:pPr>
              <w:pStyle w:val="TableContents"/>
              <w:bidi w:val="0"/>
              <w:spacing w:before="0" w:after="283"/>
              <w:jc w:val="right"/>
              <w:rPr/>
            </w:pPr>
            <w:r>
              <w:rPr>
                <w:rFonts w:ascii="Times New Roman;Times;Serif" w:hAnsi="Times New Roman;Times;Serif"/>
                <w:sz w:val="20"/>
              </w:rPr>
              <w:t>Total inventory</w:t>
            </w: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1" w:name="xdx_8AC_zaCFyRKpksFl"/>
      <w:bookmarkEnd w:id="43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2" w:name="xdx_800_eus-gaap--AccountsPayableAndAccr"/>
      <w:bookmarkEnd w:id="432"/>
      <w:r>
        <w:rPr>
          <w:rFonts w:ascii="Times New Roman;Times;Serif" w:hAnsi="Times New Roman;Times;Serif"/>
          <w:b/>
          <w:i w:val="false"/>
          <w:caps w:val="false"/>
          <w:smallCaps w:val="false"/>
          <w:sz w:val="20"/>
        </w:rPr>
        <w:t xml:space="preserve">NOTE 12 - </w:t>
      </w:r>
      <w:bookmarkStart w:id="433" w:name="xdx_828_zxYvXPZnyWIa"/>
      <w:bookmarkEnd w:id="433"/>
      <w:r>
        <w:rPr>
          <w:rFonts w:ascii="Times New Roman;Times;Serif" w:hAnsi="Times New Roman;Times;Serif"/>
          <w:b/>
          <w:i w:val="false"/>
          <w:caps w:val="false"/>
          <w:smallCaps w:val="false"/>
          <w:sz w:val="20"/>
        </w:rPr>
        <w:t>ACCOUNTS PAYABLE AND ACCRUALS - OTHER: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4" w:name="xdx_8B3_zbNxgKlNXkQ6"/>
      <w:bookmarkStart w:id="435" w:name="xdx_893_eus-gaap--ScheduleOfAccountsPaya"/>
      <w:bookmarkEnd w:id="434"/>
      <w:bookmarkEnd w:id="435"/>
      <w:r>
        <w:rPr>
          <w:rFonts w:ascii="Times New Roman;Times;Serif" w:hAnsi="Times New Roman;Times;Serif"/>
          <w:b w:val="false"/>
          <w:i w:val="false"/>
          <w:caps w:val="false"/>
          <w:smallCaps w:val="false"/>
          <w:sz w:val="20"/>
        </w:rPr>
        <w:t>SCHEDULE OF ACCOUNTS PAYABLE AND ACCRUALS - OTHER </w:t>
      </w:r>
    </w:p>
    <w:tbl>
      <w:tblPr>
        <w:tblW w:w="5338" w:type="dxa"/>
        <w:jc w:val="left"/>
        <w:tblInd w:w="0" w:type="dxa"/>
        <w:tblLayout w:type="fixed"/>
        <w:tblCellMar>
          <w:top w:w="0" w:type="dxa"/>
          <w:left w:w="0" w:type="dxa"/>
          <w:bottom w:w="0" w:type="dxa"/>
          <w:right w:w="0" w:type="dxa"/>
        </w:tblCellMar>
      </w:tblPr>
      <w:tblGrid>
        <w:gridCol w:w="3185"/>
        <w:gridCol w:w="60"/>
        <w:gridCol w:w="148"/>
        <w:gridCol w:w="576"/>
        <w:gridCol w:w="60"/>
        <w:gridCol w:w="60"/>
        <w:gridCol w:w="240"/>
        <w:gridCol w:w="934"/>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6_20250630_zBPX6LWGY8e"/>
            <w:bookmarkEnd w:id="436"/>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A_20241231_zeZSWMWaPGsc"/>
            <w:bookmarkEnd w:id="437"/>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 thousands)</w:t>
            </w:r>
          </w:p>
        </w:tc>
        <w:tc>
          <w:tcPr>
            <w:tcW w:w="75" w:type="dxa"/>
            <w:tcBorders/>
            <w:vAlign w:val="center"/>
          </w:tcPr>
          <w:p>
            <w:pPr>
              <w:pStyle w:val="TableContents"/>
              <w:bidi w:val="0"/>
              <w:spacing w:before="0" w:after="283"/>
              <w:jc w:val="left"/>
              <w:rPr/>
            </w:pPr>
            <w:r>
              <w:rPr/>
              <w:t> </w:t>
            </w:r>
            <w:bookmarkStart w:id="438" w:name="xdx_40F_eus-gaap--AccruedSalariesCurrent"/>
            <w:bookmarkEnd w:id="438"/>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and employee institutions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3,414</w:t>
            </w:r>
          </w:p>
        </w:tc>
        <w:tc>
          <w:tcPr>
            <w:tcW w:w="75" w:type="dxa"/>
            <w:tcBorders/>
            <w:shd w:fill="CCEEFF" w:val="clear"/>
            <w:vAlign w:val="center"/>
          </w:tcPr>
          <w:p>
            <w:pPr>
              <w:pStyle w:val="TableContents"/>
              <w:bidi w:val="0"/>
              <w:spacing w:before="0" w:after="283"/>
              <w:jc w:val="left"/>
              <w:rPr/>
            </w:pPr>
            <w:r>
              <w:rPr/>
              <w:t> </w:t>
            </w:r>
            <w:bookmarkStart w:id="439" w:name="xdx_40C_eus-gaap--AccruedVacationCurrent"/>
            <w:bookmarkEnd w:id="439"/>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vacation and recreation pay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75" w:type="dxa"/>
            <w:tcBorders/>
            <w:shd w:fill="FFFFFF" w:val="clear"/>
            <w:vAlign w:val="center"/>
          </w:tcPr>
          <w:p>
            <w:pPr>
              <w:pStyle w:val="TableContents"/>
              <w:bidi w:val="0"/>
              <w:spacing w:before="0" w:after="283"/>
              <w:jc w:val="left"/>
              <w:rPr/>
            </w:pPr>
            <w:r>
              <w:rPr/>
              <w:t> </w:t>
            </w:r>
            <w:bookmarkStart w:id="440" w:name="xdx_403_eus-gaap--AccruedLiabilitiesCurr"/>
            <w:bookmarkEnd w:id="440"/>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1,325</w:t>
            </w:r>
          </w:p>
        </w:tc>
        <w:tc>
          <w:tcPr>
            <w:tcW w:w="75" w:type="dxa"/>
            <w:tcBorders/>
            <w:shd w:fill="CCEEFF" w:val="clear"/>
            <w:vAlign w:val="center"/>
          </w:tcPr>
          <w:p>
            <w:pPr>
              <w:pStyle w:val="TableContents"/>
              <w:bidi w:val="0"/>
              <w:spacing w:before="0" w:after="283"/>
              <w:jc w:val="left"/>
              <w:rPr/>
            </w:pPr>
            <w:r>
              <w:rPr/>
              <w:t> </w:t>
            </w:r>
            <w:bookmarkStart w:id="441" w:name="xdx_400_ecustom--ClinicalTrialAccrualCur"/>
            <w:bookmarkEnd w:id="441"/>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trial accrual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75" w:type="dxa"/>
            <w:tcBorders/>
            <w:shd w:fill="FFFFFF" w:val="clear"/>
            <w:vAlign w:val="center"/>
          </w:tcPr>
          <w:p>
            <w:pPr>
              <w:pStyle w:val="TableContents"/>
              <w:bidi w:val="0"/>
              <w:spacing w:before="0" w:after="283"/>
              <w:jc w:val="left"/>
              <w:rPr/>
            </w:pPr>
            <w:r>
              <w:rPr/>
              <w:t> </w:t>
            </w:r>
            <w:bookmarkStart w:id="442" w:name="xdx_409_ecustom--AccruedOperatingLeaseLi"/>
            <w:bookmarkEnd w:id="442"/>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75" w:type="dxa"/>
            <w:tcBorders/>
            <w:shd w:fill="CCEEFF" w:val="clear"/>
            <w:vAlign w:val="center"/>
          </w:tcPr>
          <w:p>
            <w:pPr>
              <w:pStyle w:val="TableContents"/>
              <w:bidi w:val="0"/>
              <w:spacing w:before="0" w:after="283"/>
              <w:jc w:val="left"/>
              <w:rPr/>
            </w:pPr>
            <w:r>
              <w:rPr/>
              <w:t> </w:t>
            </w:r>
            <w:bookmarkStart w:id="443" w:name="xdx_406_eus-gaap--OtherAccruedLiabilitie"/>
            <w:bookmarkEnd w:id="443"/>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w:t>
            </w:r>
          </w:p>
        </w:tc>
        <w:tc>
          <w:tcPr>
            <w:tcW w:w="75" w:type="dxa"/>
            <w:tcBorders/>
            <w:shd w:fill="FFFFFF" w:val="clear"/>
            <w:vAlign w:val="center"/>
          </w:tcPr>
          <w:p>
            <w:pPr>
              <w:pStyle w:val="TableContents"/>
              <w:bidi w:val="0"/>
              <w:spacing w:before="0" w:after="283"/>
              <w:jc w:val="left"/>
              <w:rPr/>
            </w:pPr>
            <w:r>
              <w:rPr/>
              <w:t> </w:t>
            </w:r>
            <w:bookmarkStart w:id="444" w:name="xdx_40D_eus-gaap--AccountsPayableOtherCu"/>
            <w:bookmarkEnd w:id="444"/>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 - Other</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5" w:name="xdx_8A1_zOTyu8PcNar3"/>
      <w:bookmarkEnd w:id="4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6" w:name="xdx_80A_eus-gaap--RevenueFromContractWit"/>
      <w:bookmarkEnd w:id="446"/>
      <w:r>
        <w:rPr>
          <w:rFonts w:ascii="Times New Roman;Times;Serif" w:hAnsi="Times New Roman;Times;Serif"/>
          <w:b/>
          <w:i w:val="false"/>
          <w:caps w:val="false"/>
          <w:smallCaps w:val="false"/>
          <w:sz w:val="20"/>
        </w:rPr>
        <w:t xml:space="preserve">NOTE 13 - </w:t>
      </w:r>
      <w:bookmarkStart w:id="447" w:name="xdx_82E_zN6IhkH3CZS4"/>
      <w:bookmarkEnd w:id="447"/>
      <w:r>
        <w:rPr>
          <w:rFonts w:ascii="Times New Roman;Times;Serif" w:hAnsi="Times New Roman;Times;Serif"/>
          <w:b/>
          <w:i w:val="false"/>
          <w:caps w:val="false"/>
          <w:smallCaps w:val="false"/>
          <w:sz w:val="20"/>
        </w:rPr>
        <w:t>DISAGGREGATED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448" w:name="xdx_89F_eus-gaap--ScheduleOfRevenueFromE"/>
      <w:bookmarkEnd w:id="448"/>
      <w:r>
        <w:rPr>
          <w:rFonts w:ascii="Times New Roman;Times;Serif" w:hAnsi="Times New Roman;Times;Serif"/>
          <w:b w:val="false"/>
          <w:i w:val="false"/>
          <w:caps w:val="false"/>
          <w:smallCaps w:val="false"/>
          <w:sz w:val="20"/>
        </w:rPr>
        <w:t>Revenues are attributed to geographic areas based on the location of the customers. The following is a summary of revenues:</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bookmarkStart w:id="449" w:name="xdx_8B8_zMpTkzfkSKW8"/>
      <w:bookmarkEnd w:id="449"/>
      <w:r>
        <w:rPr>
          <w:rFonts w:ascii="Times New Roman;Times;Serif" w:hAnsi="Times New Roman;Times;Serif"/>
          <w:b w:val="false"/>
          <w:i w:val="false"/>
          <w:caps w:val="false"/>
          <w:smallCaps w:val="false"/>
          <w:sz w:val="20"/>
        </w:rPr>
        <w:t>SCHEDULE OF REVENUES ATTRIBUTED TO GEOGRAPHIC AREAS  </w:t>
      </w:r>
    </w:p>
    <w:tbl>
      <w:tblPr>
        <w:tblW w:w="4389" w:type="dxa"/>
        <w:jc w:val="left"/>
        <w:tblInd w:w="0" w:type="dxa"/>
        <w:tblLayout w:type="fixed"/>
        <w:tblCellMar>
          <w:top w:w="0" w:type="dxa"/>
          <w:left w:w="0" w:type="dxa"/>
          <w:bottom w:w="0" w:type="dxa"/>
          <w:right w:w="0" w:type="dxa"/>
        </w:tblCellMar>
      </w:tblPr>
      <w:tblGrid>
        <w:gridCol w:w="830"/>
        <w:gridCol w:w="60"/>
        <w:gridCol w:w="165"/>
        <w:gridCol w:w="642"/>
        <w:gridCol w:w="79"/>
        <w:gridCol w:w="79"/>
        <w:gridCol w:w="165"/>
        <w:gridCol w:w="642"/>
        <w:gridCol w:w="60"/>
        <w:gridCol w:w="60"/>
        <w:gridCol w:w="143"/>
        <w:gridCol w:w="555"/>
        <w:gridCol w:w="68"/>
        <w:gridCol w:w="68"/>
        <w:gridCol w:w="143"/>
        <w:gridCol w:w="555"/>
        <w:gridCol w:w="75"/>
      </w:tblGrid>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2_20250401__20250630_z2VpfW2oQPJg"/>
            <w:bookmarkEnd w:id="450"/>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bookmarkStart w:id="451" w:name="xdx_49D_20240401__20240630_zHupmrKeDUSc"/>
            <w:bookmarkEnd w:id="451"/>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F_20250101__20250630_zXqeonjn2T2b"/>
            <w:bookmarkEnd w:id="452"/>
          </w:p>
        </w:tc>
        <w:tc>
          <w:tcPr>
            <w:tcW w:w="6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453" w:name="xdx_49C_20240101__20240630_zqXVsnq47Nad"/>
            <w:bookmarkEnd w:id="453"/>
          </w:p>
        </w:tc>
        <w:tc>
          <w:tcPr>
            <w:tcW w:w="6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 thousands)</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0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454" w:name="xdx_40E_eus-gaap--RevenueFromContractWit"/>
            <w:bookmarkEnd w:id="454"/>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w:t>
            </w:r>
          </w:p>
        </w:tc>
        <w:tc>
          <w:tcPr>
            <w:tcW w:w="75" w:type="dxa"/>
            <w:tcBorders/>
            <w:shd w:fill="CCEEFF" w:val="clear"/>
            <w:vAlign w:val="center"/>
          </w:tcPr>
          <w:p>
            <w:pPr>
              <w:pStyle w:val="TableContents"/>
              <w:bidi w:val="0"/>
              <w:spacing w:before="0" w:after="283"/>
              <w:jc w:val="left"/>
              <w:rPr/>
            </w:pPr>
            <w:r>
              <w:rPr/>
              <w:t> </w:t>
            </w:r>
            <w:bookmarkStart w:id="455" w:name="xdx_40C_eus-gaap--RevenueFromContractWit"/>
            <w:bookmarkEnd w:id="455"/>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Italy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w:t>
            </w:r>
          </w:p>
        </w:tc>
        <w:tc>
          <w:tcPr>
            <w:tcW w:w="75" w:type="dxa"/>
            <w:tcBorders/>
            <w:shd w:fill="FFFFFF" w:val="clear"/>
            <w:vAlign w:val="center"/>
          </w:tcPr>
          <w:p>
            <w:pPr>
              <w:pStyle w:val="TableContents"/>
              <w:bidi w:val="0"/>
              <w:spacing w:before="0" w:after="283"/>
              <w:jc w:val="left"/>
              <w:rPr/>
            </w:pPr>
            <w:r>
              <w:rPr/>
              <w:t> </w:t>
            </w:r>
            <w:bookmarkStart w:id="456" w:name="xdx_40D_eus-gaap--RevenueFromContractWit"/>
            <w:bookmarkEnd w:id="456"/>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Poland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w:t>
            </w:r>
          </w:p>
        </w:tc>
        <w:tc>
          <w:tcPr>
            <w:tcW w:w="75" w:type="dxa"/>
            <w:tcBorders/>
            <w:shd w:fill="CCEEFF" w:val="clear"/>
            <w:vAlign w:val="center"/>
          </w:tcPr>
          <w:p>
            <w:pPr>
              <w:pStyle w:val="TableContents"/>
              <w:bidi w:val="0"/>
              <w:spacing w:before="0" w:after="283"/>
              <w:jc w:val="left"/>
              <w:rPr/>
            </w:pPr>
            <w:r>
              <w:rPr/>
              <w:t> </w:t>
            </w:r>
            <w:bookmarkStart w:id="457" w:name="xdx_40D_eus-gaap--RevenueFromContractWit"/>
            <w:bookmarkEnd w:id="457"/>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bookmarkStart w:id="458" w:name="xdx_F41_zbPkkfQKvMri"/>
            <w:bookmarkEnd w:id="458"/>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1,784</w:t>
            </w:r>
          </w:p>
        </w:tc>
        <w:tc>
          <w:tcPr>
            <w:tcW w:w="75" w:type="dxa"/>
            <w:tcBorders/>
            <w:shd w:fill="FFFFFF" w:val="clear"/>
            <w:vAlign w:val="center"/>
          </w:tcPr>
          <w:p>
            <w:pPr>
              <w:pStyle w:val="TableContents"/>
              <w:bidi w:val="0"/>
              <w:spacing w:before="0" w:after="283"/>
              <w:jc w:val="left"/>
              <w:rPr/>
            </w:pPr>
            <w:r>
              <w:rPr/>
              <w:t> </w:t>
            </w:r>
            <w:bookmarkStart w:id="459" w:name="xdx_404_eus-gaap--RevenueFromContractWit"/>
            <w:bookmarkEnd w:id="459"/>
          </w:p>
        </w:tc>
      </w:tr>
      <w:tr>
        <w:trPr/>
        <w:tc>
          <w:tcPr>
            <w:tcW w:w="8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140"/>
        <w:gridCol w:w="23"/>
        <w:gridCol w:w="770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460" w:name="xdx_F07_zrsyuzDAhDY1"/>
            <w:bookmarkEnd w:id="460"/>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both"/>
              <w:rPr>
                <w:rFonts w:ascii="Times New Roman;Times;Serif" w:hAnsi="Times New Roman;Times;Serif"/>
                <w:sz w:val="20"/>
              </w:rPr>
            </w:pPr>
            <w:bookmarkStart w:id="461" w:name="xdx_F13_zMimrX4GmuZg"/>
            <w:bookmarkEnd w:id="461"/>
            <w:r>
              <w:rPr>
                <w:rFonts w:ascii="Times New Roman;Times;Serif" w:hAnsi="Times New Roman;Times;Serif"/>
                <w:sz w:val="20"/>
              </w:rPr>
              <w:t>Other countries do not exceed 10% in the six and three months ended June 30, 2025 and 2024.</w:t>
            </w:r>
          </w:p>
        </w:tc>
      </w:tr>
    </w:tbl>
    <w:p>
      <w:pPr>
        <w:pStyle w:val="TextBody"/>
        <w:bidi w:val="0"/>
        <w:spacing w:before="0" w:after="0"/>
        <w:ind w:left="1134" w:right="0" w:hanging="0"/>
        <w:jc w:val="both"/>
        <w:rPr>
          <w:caps w:val="false"/>
          <w:smallCaps w:val="false"/>
        </w:rPr>
      </w:pPr>
      <w:bookmarkStart w:id="462" w:name="xdx_8AA_zJKIZO6kkmRi"/>
      <w:bookmarkEnd w:id="462"/>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463" w:name="xdx_89B_eus-gaap--ScheduleOfRevenueByMaj"/>
      <w:bookmarkEnd w:id="463"/>
      <w:r>
        <w:rPr>
          <w:rFonts w:ascii="Times New Roman;Times;Serif" w:hAnsi="Times New Roman;Times;Serif"/>
          <w:b w:val="false"/>
          <w:i w:val="false"/>
          <w:caps w:val="false"/>
          <w:smallCaps w:val="false"/>
          <w:sz w:val="20"/>
        </w:rPr>
        <w:t>By principal customers:</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bookmarkStart w:id="464" w:name="xdx_8BB_zg1pjK5s8rR8"/>
      <w:bookmarkEnd w:id="464"/>
      <w:r>
        <w:rPr>
          <w:rFonts w:ascii="Times New Roman;Times;Serif" w:hAnsi="Times New Roman;Times;Serif"/>
          <w:b w:val="false"/>
          <w:i w:val="false"/>
          <w:caps w:val="false"/>
          <w:smallCaps w:val="false"/>
          <w:sz w:val="20"/>
        </w:rPr>
        <w:t>SCHEDULE OF REVENUES ATTRIBUTED TO GEOGRAPHIC AREAS BY PRINCIPAL CUSTOMERS </w:t>
      </w:r>
    </w:p>
    <w:tbl>
      <w:tblPr>
        <w:tblW w:w="5239" w:type="dxa"/>
        <w:jc w:val="left"/>
        <w:tblInd w:w="0" w:type="dxa"/>
        <w:tblLayout w:type="fixed"/>
        <w:tblCellMar>
          <w:top w:w="0" w:type="dxa"/>
          <w:left w:w="0" w:type="dxa"/>
          <w:bottom w:w="0" w:type="dxa"/>
          <w:right w:w="0" w:type="dxa"/>
        </w:tblCellMar>
      </w:tblPr>
      <w:tblGrid>
        <w:gridCol w:w="1430"/>
        <w:gridCol w:w="60"/>
        <w:gridCol w:w="143"/>
        <w:gridCol w:w="550"/>
        <w:gridCol w:w="291"/>
        <w:gridCol w:w="94"/>
        <w:gridCol w:w="143"/>
        <w:gridCol w:w="550"/>
        <w:gridCol w:w="185"/>
        <w:gridCol w:w="60"/>
        <w:gridCol w:w="124"/>
        <w:gridCol w:w="476"/>
        <w:gridCol w:w="252"/>
        <w:gridCol w:w="81"/>
        <w:gridCol w:w="124"/>
        <w:gridCol w:w="476"/>
        <w:gridCol w:w="20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B_20250401__20250630_z7FDtYxnePSi"/>
            <w:bookmarkEnd w:id="465"/>
          </w:p>
        </w:tc>
        <w:tc>
          <w:tcPr>
            <w:tcW w:w="6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466" w:name="xdx_491_20240401__20240630_z93bRowZx4qd"/>
            <w:bookmarkEnd w:id="466"/>
          </w:p>
        </w:tc>
        <w:tc>
          <w:tcPr>
            <w:tcW w:w="6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7" w:name="xdx_49B_20250101__20250630_zJlblXGO4MW8"/>
            <w:bookmarkEnd w:id="467"/>
          </w:p>
        </w:tc>
        <w:tc>
          <w:tcPr>
            <w:tcW w:w="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bookmarkStart w:id="468" w:name="xdx_496_20240101__20240630_zj8sCsBjAubi"/>
            <w:bookmarkEnd w:id="468"/>
          </w:p>
        </w:tc>
        <w:tc>
          <w:tcPr>
            <w:tcW w:w="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Three months ended </w:t>
              <w:b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Six months ended </w:t>
              <w:br/>
              <w:t>June 30,</w:t>
            </w:r>
          </w:p>
        </w:tc>
        <w:tc>
          <w:tcPr>
            <w:tcW w:w="20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5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bookmarkStart w:id="469" w:name="xdx_405_eus-gaap--ConcentrationRiskPerce"/>
            <w:bookmarkEnd w:id="469"/>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0" w:name="xdx_40F_eus-gaap--ConcentrationRiskPerce"/>
            <w:bookmarkEnd w:id="470"/>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B</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1" w:name="xdx_40A_eus-gaap--ConcentrationRiskPerce"/>
            <w:bookmarkEnd w:id="471"/>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Sales percentage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bookmarkStart w:id="472" w:name="xdx_8A8_zAj6DhZ0P6Pc"/>
      <w:bookmarkEnd w:id="47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3" w:name="xdx_80B_eus-gaap--SegmentReportingDisclo"/>
      <w:bookmarkEnd w:id="473"/>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xml:space="preserve">: </w:t>
      </w:r>
      <w:bookmarkStart w:id="474" w:name="xdx_827_za3wwznzEfB2"/>
      <w:bookmarkEnd w:id="474"/>
      <w:r>
        <w:rPr>
          <w:rFonts w:ascii="Times New Roman;Times;Serif" w:hAnsi="Times New Roman;Times;Serif"/>
          <w:b/>
          <w:i w:val="false"/>
          <w:caps w:val="false"/>
          <w:smallCaps w:val="false"/>
          <w:sz w:val="20"/>
        </w:rPr>
        <w:t>SEGMENT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475" w:name="xdx_909_eus-gaap--NumberOfReportableSegm"/>
      <w:bookmarkStart w:id="476" w:name="xdx_901_eus-gaap--NumberOfOperatingSegme"/>
      <w:bookmarkEnd w:id="475"/>
      <w:bookmarkEnd w:id="476"/>
      <w:r>
        <w:rPr>
          <w:rFonts w:ascii="Times New Roman;Times;Serif" w:hAnsi="Times New Roman;Times;Serif"/>
          <w:b w:val="false"/>
          <w:i w:val="false"/>
          <w:caps w:val="false"/>
          <w:smallCaps w:val="false"/>
          <w:sz w:val="20"/>
        </w:rPr>
        <w:t>one operating and reporting segment, that develops, manufactures and markets products for the treatment of carotid artery disease and other vascular disease, including the Company’s proprietary CGuard™ stent platform. The Company’s Chief Operating Decision Maker (“CODM”), who is the CEO evaluates the Company’s performance based on its internal reporting which is consistent with the presentation in the Company’s consolidated financial statements. Accordingly, our CODM uses consolidated net income to measure segment profit or loss, allocate resources, and assess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examines, within each operational function the employee salaries including the bonus and share based compensation. In addition, the CODM examines the clinical trials expenses within the research and development operations.</w:t>
      </w:r>
    </w:p>
    <w:p>
      <w:pPr>
        <w:pStyle w:val="TextBody"/>
        <w:bidi w:val="0"/>
        <w:spacing w:before="0" w:after="0"/>
        <w:ind w:left="720" w:right="0" w:hanging="0"/>
        <w:jc w:val="both"/>
        <w:rPr>
          <w:caps w:val="false"/>
          <w:smallCaps w:val="false"/>
        </w:rPr>
      </w:pPr>
      <w:bookmarkStart w:id="477" w:name="xdx_89B_ecustom--ScheduleOfRevenueAndExp"/>
      <w:bookmarkEnd w:id="477"/>
      <w:r>
        <w:rPr>
          <w:caps w:val="false"/>
          <w:smallCaps w:val="false"/>
        </w:rPr>
        <w:t> </w:t>
      </w:r>
      <w:bookmarkStart w:id="478" w:name="xdx_8BB_zjnj5jzN70Mg"/>
      <w:bookmarkEnd w:id="478"/>
      <w:r>
        <w:rPr>
          <w:rFonts w:ascii="Times New Roman;Times;Serif" w:hAnsi="Times New Roman;Times;Serif"/>
          <w:b/>
          <w:i w:val="false"/>
          <w:caps w:val="false"/>
          <w:smallCaps w:val="false"/>
          <w:sz w:val="20"/>
        </w:rPr>
        <w:t>SCHEDULE OF SEGMENT REVENUE</w:t>
      </w:r>
    </w:p>
    <w:tbl>
      <w:tblPr>
        <w:tblW w:w="6617" w:type="dxa"/>
        <w:jc w:val="left"/>
        <w:tblInd w:w="0" w:type="dxa"/>
        <w:tblLayout w:type="fixed"/>
        <w:tblCellMar>
          <w:top w:w="0" w:type="dxa"/>
          <w:left w:w="0" w:type="dxa"/>
          <w:bottom w:w="0" w:type="dxa"/>
          <w:right w:w="0" w:type="dxa"/>
        </w:tblCellMar>
      </w:tblPr>
      <w:tblGrid>
        <w:gridCol w:w="2990"/>
        <w:gridCol w:w="60"/>
        <w:gridCol w:w="73"/>
        <w:gridCol w:w="792"/>
        <w:gridCol w:w="97"/>
        <w:gridCol w:w="73"/>
        <w:gridCol w:w="73"/>
        <w:gridCol w:w="664"/>
        <w:gridCol w:w="80"/>
        <w:gridCol w:w="60"/>
        <w:gridCol w:w="60"/>
        <w:gridCol w:w="650"/>
        <w:gridCol w:w="80"/>
        <w:gridCol w:w="60"/>
        <w:gridCol w:w="60"/>
        <w:gridCol w:w="650"/>
        <w:gridCol w:w="9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0_20250401__20250630_zlgnHlRCCio9"/>
            <w:bookmarkEnd w:id="479"/>
          </w:p>
        </w:tc>
        <w:tc>
          <w:tcPr>
            <w:tcW w:w="8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480" w:name="xdx_497_20240401__20240630_zSUaGC8EM8Hc"/>
            <w:bookmarkEnd w:id="480"/>
          </w:p>
        </w:tc>
        <w:tc>
          <w:tcPr>
            <w:tcW w:w="737"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1" w:name="xdx_491_20250101__20250630_zOsHk0k2aqsh"/>
            <w:bookmarkEnd w:id="481"/>
          </w:p>
        </w:tc>
        <w:tc>
          <w:tcPr>
            <w:tcW w:w="71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9E_20240101__20240630_zhmWzewm7Ux6"/>
            <w:bookmarkEnd w:id="482"/>
          </w:p>
        </w:tc>
        <w:tc>
          <w:tcPr>
            <w:tcW w:w="71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Three months ended </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Six months ended </w:t>
              <w:br/>
              <w:t>June 30,</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bookmarkStart w:id="483" w:name="xdx_404_eus-gaap--RevenueFromContractWit"/>
            <w:bookmarkEnd w:id="483"/>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1,778</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3,250</w:t>
            </w:r>
          </w:p>
        </w:tc>
        <w:tc>
          <w:tcPr>
            <w:tcW w:w="9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484" w:name="xdx_40F_eus-gaap--CostOfGoodsAndServices"/>
            <w:bookmarkEnd w:id="484"/>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Cost of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485" w:name="xdx_40B_eus-gaap--CostDirectMaterial_i01"/>
            <w:bookmarkEnd w:id="485"/>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and Labor</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1,138</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2,164</w:t>
            </w:r>
          </w:p>
        </w:tc>
        <w:tc>
          <w:tcPr>
            <w:tcW w:w="95" w:type="dxa"/>
            <w:tcBorders/>
            <w:shd w:fill="FFFFFF" w:val="clear"/>
            <w:vAlign w:val="center"/>
          </w:tcPr>
          <w:p>
            <w:pPr>
              <w:pStyle w:val="TableContents"/>
              <w:bidi w:val="0"/>
              <w:spacing w:before="0" w:after="283"/>
              <w:jc w:val="left"/>
              <w:rPr/>
            </w:pPr>
            <w:r>
              <w:rPr/>
              <w:t> </w:t>
            </w:r>
            <w:bookmarkStart w:id="486" w:name="xdx_400_eus-gaap--OtherCostOfOperatingRe"/>
            <w:bookmarkEnd w:id="486"/>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cost of revenues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w:t>
            </w:r>
          </w:p>
        </w:tc>
        <w:tc>
          <w:tcPr>
            <w:tcW w:w="95" w:type="dxa"/>
            <w:tcBorders/>
            <w:shd w:fill="CCEEFF" w:val="clear"/>
            <w:vAlign w:val="center"/>
          </w:tcPr>
          <w:p>
            <w:pPr>
              <w:pStyle w:val="TableContents"/>
              <w:bidi w:val="0"/>
              <w:spacing w:before="0" w:after="283"/>
              <w:jc w:val="left"/>
              <w:rPr/>
            </w:pPr>
            <w:r>
              <w:rPr/>
              <w:t> </w:t>
            </w:r>
            <w:bookmarkStart w:id="487" w:name="xdx_402_eus-gaap--CostOfGoodsAndServices"/>
            <w:bookmarkEnd w:id="487"/>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1,465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2,627</w:t>
            </w:r>
          </w:p>
        </w:tc>
        <w:tc>
          <w:tcPr>
            <w:tcW w:w="9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488" w:name="xdx_40D_eus-gaap--ResearchAndDevelopment"/>
            <w:bookmarkEnd w:id="488"/>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Research and development (R&amp;D)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489" w:name="xdx_40A_eus-gaap--EmployeeBenefitsAndSha"/>
            <w:bookmarkEnd w:id="489"/>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Benefits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1,351</w:t>
            </w:r>
          </w:p>
        </w:tc>
        <w:tc>
          <w:tcPr>
            <w:tcW w:w="95" w:type="dxa"/>
            <w:tcBorders/>
            <w:shd w:fill="CCEEFF" w:val="clear"/>
            <w:vAlign w:val="center"/>
          </w:tcPr>
          <w:p>
            <w:pPr>
              <w:pStyle w:val="TableContents"/>
              <w:bidi w:val="0"/>
              <w:spacing w:before="0" w:after="283"/>
              <w:jc w:val="left"/>
              <w:rPr/>
            </w:pPr>
            <w:r>
              <w:rPr/>
              <w:t> </w:t>
            </w:r>
            <w:bookmarkStart w:id="490" w:name="xdx_407_eus-gaap--ShareBasedCompensation"/>
            <w:bookmarkEnd w:id="490"/>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w:t>
            </w:r>
          </w:p>
        </w:tc>
        <w:tc>
          <w:tcPr>
            <w:tcW w:w="95" w:type="dxa"/>
            <w:tcBorders/>
            <w:shd w:fill="FFFFFF" w:val="clear"/>
            <w:vAlign w:val="center"/>
          </w:tcPr>
          <w:p>
            <w:pPr>
              <w:pStyle w:val="TableContents"/>
              <w:bidi w:val="0"/>
              <w:spacing w:before="0" w:after="283"/>
              <w:jc w:val="left"/>
              <w:rPr/>
            </w:pPr>
            <w:r>
              <w:rPr/>
              <w:t> </w:t>
            </w:r>
            <w:bookmarkStart w:id="491" w:name="xdx_408_ecustom--ClinicalTrials_i01_pn3n"/>
            <w:bookmarkEnd w:id="49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Clinical trials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1,949</w:t>
            </w:r>
          </w:p>
        </w:tc>
        <w:tc>
          <w:tcPr>
            <w:tcW w:w="95" w:type="dxa"/>
            <w:tcBorders/>
            <w:shd w:fill="CCEEFF" w:val="clear"/>
            <w:vAlign w:val="center"/>
          </w:tcPr>
          <w:p>
            <w:pPr>
              <w:pStyle w:val="TableContents"/>
              <w:bidi w:val="0"/>
              <w:spacing w:before="0" w:after="283"/>
              <w:jc w:val="left"/>
              <w:rPr/>
            </w:pPr>
            <w:r>
              <w:rPr/>
              <w:t> </w:t>
            </w:r>
            <w:bookmarkStart w:id="492" w:name="xdx_401_eus-gaap--OtherResearchAndDevelo"/>
            <w:bookmarkEnd w:id="492"/>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R&amp;D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944</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1,575</w:t>
            </w:r>
          </w:p>
        </w:tc>
        <w:tc>
          <w:tcPr>
            <w:tcW w:w="95" w:type="dxa"/>
            <w:tcBorders/>
            <w:shd w:fill="FFFFFF" w:val="clear"/>
            <w:vAlign w:val="center"/>
          </w:tcPr>
          <w:p>
            <w:pPr>
              <w:pStyle w:val="TableContents"/>
              <w:bidi w:val="0"/>
              <w:spacing w:before="0" w:after="283"/>
              <w:jc w:val="left"/>
              <w:rPr/>
            </w:pPr>
            <w:r>
              <w:rPr/>
              <w:t> </w:t>
            </w:r>
            <w:bookmarkStart w:id="493" w:name="xdx_401_eus-gaap--ResearchAndDevelopment"/>
            <w:bookmarkEnd w:id="493"/>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3,834</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6,026</w:t>
            </w:r>
          </w:p>
        </w:tc>
        <w:tc>
          <w:tcPr>
            <w:tcW w:w="9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494" w:name="xdx_40C_eus-gaap--SellingAndMarketingExp"/>
            <w:bookmarkEnd w:id="494"/>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and marketing (S&amp;M)</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495" w:name="xdx_404_eus-gaap--EmployeeBenefitsAndSha"/>
            <w:bookmarkEnd w:id="495"/>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Benefits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1,615</w:t>
            </w:r>
          </w:p>
        </w:tc>
        <w:tc>
          <w:tcPr>
            <w:tcW w:w="95" w:type="dxa"/>
            <w:tcBorders/>
            <w:shd w:fill="FFFFFF" w:val="clear"/>
            <w:vAlign w:val="center"/>
          </w:tcPr>
          <w:p>
            <w:pPr>
              <w:pStyle w:val="TableContents"/>
              <w:bidi w:val="0"/>
              <w:spacing w:before="0" w:after="283"/>
              <w:jc w:val="left"/>
              <w:rPr/>
            </w:pPr>
            <w:r>
              <w:rPr/>
              <w:t> </w:t>
            </w:r>
            <w:bookmarkStart w:id="496" w:name="xdx_409_eus-gaap--ShareBasedCompensation"/>
            <w:bookmarkEnd w:id="496"/>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w:t>
            </w:r>
          </w:p>
        </w:tc>
        <w:tc>
          <w:tcPr>
            <w:tcW w:w="95" w:type="dxa"/>
            <w:tcBorders/>
            <w:shd w:fill="CCEEFF" w:val="clear"/>
            <w:vAlign w:val="center"/>
          </w:tcPr>
          <w:p>
            <w:pPr>
              <w:pStyle w:val="TableContents"/>
              <w:bidi w:val="0"/>
              <w:spacing w:before="0" w:after="283"/>
              <w:jc w:val="left"/>
              <w:rPr/>
            </w:pPr>
            <w:r>
              <w:rPr/>
              <w:t> </w:t>
            </w:r>
            <w:bookmarkStart w:id="497" w:name="xdx_403_eus-gaap--OtherSellingAndMarketi"/>
            <w:bookmarkEnd w:id="497"/>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S&amp;M</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95" w:type="dxa"/>
            <w:tcBorders/>
            <w:shd w:fill="FFFFFF" w:val="clear"/>
            <w:vAlign w:val="center"/>
          </w:tcPr>
          <w:p>
            <w:pPr>
              <w:pStyle w:val="TableContents"/>
              <w:bidi w:val="0"/>
              <w:spacing w:before="0" w:after="283"/>
              <w:jc w:val="left"/>
              <w:rPr/>
            </w:pPr>
            <w:r>
              <w:rPr/>
              <w:t> </w:t>
            </w:r>
            <w:bookmarkStart w:id="498" w:name="xdx_40D_eus-gaap--SellingAndMarketingExp"/>
            <w:bookmarkEnd w:id="498"/>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Selling and marketing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4,172</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2,682</w:t>
            </w:r>
          </w:p>
        </w:tc>
        <w:tc>
          <w:tcPr>
            <w:tcW w:w="9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499" w:name="xdx_405_eus-gaap--GeneralAndAdministrati"/>
            <w:bookmarkEnd w:id="499"/>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and administrative (G&amp;A)</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500" w:name="xdx_409_eus-gaap--EmployeeBenefitsAndSha"/>
            <w:bookmarkEnd w:id="500"/>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Benefits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w:t>
            </w:r>
          </w:p>
        </w:tc>
        <w:tc>
          <w:tcPr>
            <w:tcW w:w="95" w:type="dxa"/>
            <w:tcBorders/>
            <w:shd w:fill="FFFFFF" w:val="clear"/>
            <w:vAlign w:val="center"/>
          </w:tcPr>
          <w:p>
            <w:pPr>
              <w:pStyle w:val="TableContents"/>
              <w:bidi w:val="0"/>
              <w:spacing w:before="0" w:after="283"/>
              <w:jc w:val="left"/>
              <w:rPr/>
            </w:pPr>
            <w:r>
              <w:rPr/>
              <w:t> </w:t>
            </w:r>
            <w:bookmarkStart w:id="501" w:name="xdx_40F_eus-gaap--ShareBasedCompensation"/>
            <w:bookmarkEnd w:id="50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3,510</w:t>
            </w:r>
          </w:p>
        </w:tc>
        <w:tc>
          <w:tcPr>
            <w:tcW w:w="95" w:type="dxa"/>
            <w:tcBorders/>
            <w:shd w:fill="CCEEFF" w:val="clear"/>
            <w:vAlign w:val="center"/>
          </w:tcPr>
          <w:p>
            <w:pPr>
              <w:pStyle w:val="TableContents"/>
              <w:bidi w:val="0"/>
              <w:spacing w:before="0" w:after="283"/>
              <w:jc w:val="left"/>
              <w:rPr/>
            </w:pPr>
            <w:r>
              <w:rPr/>
              <w:t> </w:t>
            </w:r>
            <w:bookmarkStart w:id="502" w:name="xdx_402_eus-gaap--OtherGeneralAndAdminis"/>
            <w:bookmarkEnd w:id="502"/>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G&amp;A</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1,677</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2,431</w:t>
            </w:r>
          </w:p>
        </w:tc>
        <w:tc>
          <w:tcPr>
            <w:tcW w:w="95" w:type="dxa"/>
            <w:tcBorders/>
            <w:shd w:fill="FFFFFF" w:val="clear"/>
            <w:vAlign w:val="center"/>
          </w:tcPr>
          <w:p>
            <w:pPr>
              <w:pStyle w:val="TableContents"/>
              <w:bidi w:val="0"/>
              <w:spacing w:before="0" w:after="283"/>
              <w:jc w:val="left"/>
              <w:rPr/>
            </w:pPr>
            <w:r>
              <w:rPr/>
              <w:t> </w:t>
            </w:r>
            <w:bookmarkStart w:id="503" w:name="xdx_407_eus-gaap--GeneralAndAdministrati"/>
            <w:bookmarkEnd w:id="503"/>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5,326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7,589</w:t>
            </w:r>
          </w:p>
        </w:tc>
        <w:tc>
          <w:tcPr>
            <w:tcW w:w="9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504" w:name="xdx_401_eus-gaap--NonoperatingIncomeExpe"/>
            <w:bookmarkEnd w:id="504"/>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Income (expenses), net;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95" w:type="dxa"/>
            <w:tcBorders/>
            <w:shd w:fill="CCEEFF" w:val="clear"/>
            <w:vAlign w:val="center"/>
          </w:tcPr>
          <w:p>
            <w:pPr>
              <w:pStyle w:val="TableContents"/>
              <w:bidi w:val="0"/>
              <w:spacing w:before="0" w:after="283"/>
              <w:jc w:val="left"/>
              <w:rPr/>
            </w:pPr>
            <w:r>
              <w:rPr/>
              <w:t> </w:t>
            </w:r>
            <w:bookmarkStart w:id="505" w:name="xdx_40C_eus-gaap--NetIncomeLoss_pn3n3_zV"/>
            <w:bookmarkEnd w:id="505"/>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Segment net Loss</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(13,151</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(14,941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bookmarkStart w:id="506" w:name="xdx_8A9_z1JUQmh1SXh3"/>
      <w:bookmarkEnd w:id="5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7" w:name="xdx_805_eus-gaap--SubsequentEventsTextBl"/>
      <w:bookmarkEnd w:id="507"/>
      <w:r>
        <w:rPr>
          <w:rFonts w:ascii="Times New Roman;Times;Serif" w:hAnsi="Times New Roman;Times;Serif"/>
          <w:b/>
          <w:i w:val="false"/>
          <w:caps w:val="false"/>
          <w:smallCaps w:val="false"/>
          <w:sz w:val="20"/>
        </w:rPr>
        <w:t>NOTE 15</w:t>
      </w:r>
      <w:r>
        <w:rPr>
          <w:rFonts w:ascii="Times New Roman;Times;Serif" w:hAnsi="Times New Roman;Times;Serif"/>
          <w:b w:val="false"/>
          <w:i w:val="false"/>
          <w:caps w:val="false"/>
          <w:smallCaps w:val="false"/>
          <w:sz w:val="20"/>
        </w:rPr>
        <w:t xml:space="preserve">: </w:t>
      </w:r>
      <w:bookmarkStart w:id="508" w:name="xdx_825_zZXyJMtTdCU7"/>
      <w:bookmarkEnd w:id="508"/>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I Warrants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balance sheet date and prior to the issuance of these financial statements, holders of the Company’s series I warrants exercised a total of </w:t>
      </w:r>
      <w:bookmarkStart w:id="509" w:name="xdx_900_eus-gaap--ClassOfWarrantOrRightO"/>
      <w:bookmarkEnd w:id="509"/>
      <w:r>
        <w:rPr>
          <w:rFonts w:ascii="Times New Roman;Times;Serif" w:hAnsi="Times New Roman;Times;Serif"/>
          <w:b w:val="false"/>
          <w:i w:val="false"/>
          <w:caps w:val="false"/>
          <w:smallCaps w:val="false"/>
          <w:sz w:val="20"/>
        </w:rPr>
        <w:t xml:space="preserve">11,505,326 warrants, resulting in the issuance of </w:t>
      </w:r>
      <w:bookmarkStart w:id="510" w:name="xdx_900_eus-gaap--StockIssuedDuringPerio"/>
      <w:bookmarkEnd w:id="510"/>
      <w:r>
        <w:rPr>
          <w:rFonts w:ascii="Times New Roman;Times;Serif" w:hAnsi="Times New Roman;Times;Serif"/>
          <w:b w:val="false"/>
          <w:i w:val="false"/>
          <w:caps w:val="false"/>
          <w:smallCaps w:val="false"/>
          <w:sz w:val="20"/>
        </w:rPr>
        <w:t xml:space="preserve">943,641 shares of common stock and </w:t>
      </w:r>
      <w:bookmarkStart w:id="511" w:name="xdx_905_eus-gaap--StockIssuedDuringPerio"/>
      <w:bookmarkEnd w:id="511"/>
      <w:r>
        <w:rPr>
          <w:rFonts w:ascii="Times New Roman;Times;Serif" w:hAnsi="Times New Roman;Times;Serif"/>
          <w:b w:val="false"/>
          <w:i w:val="false"/>
          <w:caps w:val="false"/>
          <w:smallCaps w:val="false"/>
          <w:sz w:val="20"/>
        </w:rPr>
        <w:t>10,561,685 pre-funded warrants, for aggregate proceeds of approximately $</w:t>
      </w:r>
      <w:bookmarkStart w:id="512" w:name="xdx_90F_eus-gaap--ProceedsFromIssuanceOf"/>
      <w:bookmarkEnd w:id="512"/>
      <w:r>
        <w:rPr>
          <w:rFonts w:ascii="Times New Roman;Times;Serif" w:hAnsi="Times New Roman;Times;Serif"/>
          <w:b w:val="false"/>
          <w:i w:val="false"/>
          <w:caps w:val="false"/>
          <w:smallCaps w:val="false"/>
          <w:sz w:val="20"/>
        </w:rPr>
        <w:t>15,907 thousand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entered into a securities purchase agreement (the “Purchase Agreement”) with investors pursuant to which the Company issued and sold in a private placement (the “Private Placement Offering) an aggregate of </w:t>
      </w:r>
      <w:bookmarkStart w:id="513" w:name="xdx_90A_eus-gaap--StockIssuedDuringPerio"/>
      <w:bookmarkEnd w:id="513"/>
      <w:r>
        <w:rPr>
          <w:rFonts w:ascii="Times New Roman;Times;Serif" w:hAnsi="Times New Roman;Times;Serif"/>
          <w:b w:val="false"/>
          <w:i w:val="false"/>
          <w:caps w:val="false"/>
          <w:smallCaps w:val="false"/>
          <w:sz w:val="20"/>
        </w:rPr>
        <w:t>6,791,380 shares (the “Private Placement Shares”) of the Company’s common stock, and pre-funded warrants (the “Pre-Funded Warrants”) to purchase up to </w:t>
      </w:r>
      <w:bookmarkStart w:id="514" w:name="xdx_907_eus-gaap--ShareBasedCompensation"/>
      <w:bookmarkEnd w:id="514"/>
      <w:r>
        <w:rPr>
          <w:rFonts w:ascii="Times New Roman;Times;Serif" w:hAnsi="Times New Roman;Times;Serif"/>
          <w:b w:val="false"/>
          <w:i w:val="false"/>
          <w:caps w:val="false"/>
          <w:smallCaps w:val="false"/>
          <w:sz w:val="20"/>
        </w:rPr>
        <w:t>9,764,804 shares of common stock, at an offering price of $</w:t>
      </w:r>
      <w:bookmarkStart w:id="515" w:name="xdx_903_eus-gaap--SharesIssuedPricePerSh"/>
      <w:bookmarkEnd w:id="515"/>
      <w:r>
        <w:rPr>
          <w:rFonts w:ascii="Times New Roman;Times;Serif" w:hAnsi="Times New Roman;Times;Serif"/>
          <w:b w:val="false"/>
          <w:i w:val="false"/>
          <w:caps w:val="false"/>
          <w:smallCaps w:val="false"/>
          <w:sz w:val="20"/>
        </w:rPr>
        <w:t>2.42 per Private Placement Share and $</w:t>
      </w:r>
      <w:bookmarkStart w:id="516" w:name="xdx_90C_eus-gaap--SharesIssuedPricePerSh"/>
      <w:bookmarkEnd w:id="516"/>
      <w:r>
        <w:rPr>
          <w:rFonts w:ascii="Times New Roman;Times;Serif" w:hAnsi="Times New Roman;Times;Serif"/>
          <w:b w:val="false"/>
          <w:i w:val="false"/>
          <w:caps w:val="false"/>
          <w:smallCaps w:val="false"/>
          <w:sz w:val="20"/>
        </w:rPr>
        <w:t>2.4199 per Pre-Funded Warrant. The Pre-Funded Warrants will be immediately exercisable at an exercise price of $</w:t>
      </w:r>
      <w:bookmarkStart w:id="517" w:name="xdx_904_eus-gaap--ClassOfWarrantOrRightE"/>
      <w:bookmarkEnd w:id="517"/>
      <w:r>
        <w:rPr>
          <w:rFonts w:ascii="Times New Roman;Times;Serif" w:hAnsi="Times New Roman;Times;Serif"/>
          <w:b w:val="false"/>
          <w:i w:val="false"/>
          <w:caps w:val="false"/>
          <w:smallCaps w:val="false"/>
          <w:sz w:val="20"/>
        </w:rPr>
        <w:t>0.0001 per share and will not expire until exercised in full. The Private Placement Offering resulted in gross proceeds to the Company of approximately $</w:t>
      </w:r>
      <w:bookmarkStart w:id="518" w:name="xdx_90C_eus-gaap--ProceedsFromIssuanceOf"/>
      <w:bookmarkEnd w:id="518"/>
      <w:r>
        <w:rPr>
          <w:rFonts w:ascii="Times New Roman;Times;Serif" w:hAnsi="Times New Roman;Times;Serif"/>
          <w:b w:val="false"/>
          <w:i w:val="false"/>
          <w:caps w:val="false"/>
          <w:smallCaps w:val="false"/>
          <w:sz w:val="20"/>
        </w:rPr>
        <w:t>40.1 million and closed on August 1, 2025</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2025, </w:t>
      </w:r>
      <w:bookmarkStart w:id="519" w:name="xdx_90D_eus-gaap--StockIssuedDuringPerio"/>
      <w:bookmarkEnd w:id="519"/>
      <w:r>
        <w:rPr>
          <w:rFonts w:ascii="Times New Roman;Times;Serif" w:hAnsi="Times New Roman;Times;Serif"/>
          <w:b w:val="false"/>
          <w:i w:val="false"/>
          <w:caps w:val="false"/>
          <w:smallCaps w:val="false"/>
          <w:sz w:val="20"/>
        </w:rPr>
        <w:t>445,292 shares of common stock have been sold under the ATM program for total gross proceeds of approximately $</w:t>
      </w:r>
      <w:bookmarkStart w:id="520" w:name="xdx_90C_eus-gaap--ProceedsFromIssuanceOf"/>
      <w:bookmarkEnd w:id="520"/>
      <w:r>
        <w:rPr>
          <w:rFonts w:ascii="Times New Roman;Times;Serif" w:hAnsi="Times New Roman;Times;Serif"/>
          <w:b w:val="false"/>
          <w:i w:val="false"/>
          <w:caps w:val="false"/>
          <w:smallCaps w:val="false"/>
          <w:sz w:val="20"/>
        </w:rPr>
        <w:t>1.1 million and total fees of approximately $</w:t>
      </w:r>
      <w:bookmarkStart w:id="521" w:name="xdx_902_eus-gaap--ProceedsFromFeesReceiv"/>
      <w:bookmarkEnd w:id="521"/>
      <w:r>
        <w:rPr>
          <w:rFonts w:ascii="Times New Roman;Times;Serif" w:hAnsi="Times New Roman;Times;Serif"/>
          <w:b w:val="false"/>
          <w:i w:val="false"/>
          <w:caps w:val="false"/>
          <w:smallCaps w:val="false"/>
          <w:sz w:val="20"/>
        </w:rPr>
        <w:t>32K thousand.</w:t>
      </w:r>
    </w:p>
    <w:p>
      <w:pPr>
        <w:pStyle w:val="TextBody"/>
        <w:bidi w:val="0"/>
        <w:spacing w:before="0" w:after="0"/>
        <w:ind w:left="0" w:right="0" w:hanging="0"/>
        <w:jc w:val="both"/>
        <w:rPr>
          <w:caps w:val="false"/>
          <w:smallCaps w:val="false"/>
        </w:rPr>
      </w:pPr>
      <w:bookmarkStart w:id="522" w:name="xdx_81E_zuLIUCgRh528"/>
      <w:bookmarkEnd w:id="52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3" w:name="kee_002"/>
      <w:bookmarkEnd w:id="52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this Form 10-Q to the “Company,” “InspireMD,” “we,” “our” and “us” refer to InspireMD, Inc., a Delaware corporation, and its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raise additional capital to meet our business requirements in the future and such capital raising may be costly or difficult to obtain and could dilute out stockholders’ ownership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development, commercialization and market acceptance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clinical trial results for our products will be predictive of real-world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and maintain regulatory approvals for the sale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clinical trial results or lengthy product delays in key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Nasdaq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significant revenues from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expenses, future revenues, capital requirements and our needs for and ability to access sufficient additional financing, including any unexpected costs or delays in the ongoing commercial launch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single manufacturing facility and our ability to comply with stringent manufacturing quality standards and to increase production as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data collected from our current and planned clinical trials may not be sufficient to demonstrate that our technology is an attractive alternative to other procedures and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our industry, with competitors having substantially greater financial, technological, research and development, regulatory and clinical, manufacturing, marketing and sales, distribution and personnel resources than we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of new competitors and products and potential technological obsolescence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carry out research,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key customer or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problems with our research and products and potential product liability claims;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malfunctions;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increases for supplies and components;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access to our products is achieved in a commercially viable manner and whether our products receive adequate reimbursement by governmental and other third-party payers;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successfully obtain and maintain intellectual property protection covering our products,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security situation in Israel;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unfavorable economic and market conditions and adverse developments with respect to financial institutions and associated liquidity risk;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tariffs, trade barriers, price and exchange controls and other regulatory requirements and the impact of such policies on us, our customers and suppliers, and the global economic environment.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focusing on the development and commercialization of products for the treatment of carotid artery disease and other vascular disease, including our proprietary CGuard™ stent platform. On June 23, 2025, CGuard Prime, our next generation carotid artery stenting (“CAS”) stent platform, was granted premarket application (“PMA”) approval the U.S. Food and Drug Administration (“FDA”).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(“MDR”) regulatory framework.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we received approval from the FDA of our Investigation Device Exemption (“IDE”), thereby allowing us to proceed with a pivotal study of our CGuard™ Carotid Stent System, C-GUARDIANS, for prevention of stroke in patients in the United States. C-GUARDIANS was a prospective, multicenter, single-arm, pivotal study to evaluate the safety and efficacy of the CGuard™ Carotid Stent System when used to treat symptomatic and asymptomatic carotid artery stenosis in patients undergoing CAS. The study, which completed enrollment in June 2023, enrolled 316 patients across 24 trial sites in the U.S. and Europe and from April 2023 included deployment of the CGuard stent using CGuard Prime, our next generation CAS stent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data were used to support the PMA submission in September 2024, which was approved by the FDA on June 23, 2025. On June 12, 2025, we received CE Mark approval under the EU’s MDR for the CGuard Prime Embolic Prevention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FDA approved the Company’s IDE to initiate the CGUARDIANS II pivotal study of its CGuard Prime 80cm Carotid Stent System during transcarotid revascularization (TCAR)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Centers for Medicare and Medicaid Service (“CMS”) issued its final National Coverage Determination (“NCD”), expanding coverage for both CAS and TCAR to include both asymptomatic and standard risk patients, significantly expanding and supporting the future growth of the U.S. CAS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organized in the State of Delaware on February 29, 2008. In October 2024, we established our global headquarters in Miami, Florida to support the anticipated U.S. launch and commercialization of the CGuard Prime carotid stent system.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Developments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PMA approval of the CGuard Prime Carotid Stent System and Commercial Launch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the FDA granted PMA approval of the CGuard Prime Carotid Stent System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approval, in July 2025, we announced the official commercial launch of the the CGuard Prime Carotid Stent System in the United States. In October 2024, we established our global headquarters in Miami, Florida to support the U.S. launch and commercialization of CGuard Prime Carotid Stent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CE Mark Approval for CGuard Prime EPS Under European MDR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we received CE Mark approval under the EU’s MDR for the CGuard Prime Embolic Prevention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Series I Warrant  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PMA approval of the CGuard Prime Carotid Stent System in the United States, Series I warrants to purchase 12,914,078 shares of common stock were exercised in full into 2,352,393 of shares of common stock and pre-funded warrants to purchase 10,561,685 shares of common stock during June and July 2025. The net proceeds to the Company from the exercise of the Series I Warrants were $16.9 million after deducting placement agent fees. The Series I warrants, each exercisable at $1.3827 per common share and $1.3826 per pre-funded warrant, were issued as part of the private placement financing that the Company consummated on May 15,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entered into a securities purchase agreement (the “Purchase Agreement”) with investors pursuant to which the Company issued and sold in a private placement (the “Private Placement Offering”) an aggregate of 6,791,380 shares (the “Private Placement Shares”) of common stock and pre-funded warrants (the “Pre-Funded Warrants”) to purchase up to 9,764,804 shares of common stock, at an offering price of $2.42 per Private Placement Shares and $2.4199 per Pre-Funded Warrant. The Pre-Funded Warrants are immediately exercisable at an exercise price of $0.0001 per share and will not expire until exercised in full. Certain of the Company’s directors participated in the Private Placement Offering. The Private Placement Offering closed on August 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in respect of the Private Placement Offering were approximately $40.1 million, before deducting fees payable to the placement agent and other offering expenses payable by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entered into a registration rights agreement (the “Registration Rights Agreement”) pursuant to which the Company is required to file a resale registration statement (the “Registration Statement”) with the Securities and Exchange Commission (the “SEC”) to register for resale the Private Placement Shares and the shares of common stock issuable upon exercise of the Pre-Funded Warrants, within 20 days of the signing date of the Purchase Agreement (the “Signing Date”), and to have such Registration Statement declared effective within 45 days after the Signing Date in the event the Registration Statement is not reviewed by the SEC, or 90 days of the Signing Date in the event the Registration Statement is reviewed by the SEC. The Company will be obligated to pay certain liquidated damages if the Company fails to file the Registration Statement when required, fails to cause the Registration Statement to be declared effective by the SEC when required, or if the Company fails to maintain the effectiveness of the Registration Statement. The Company paid the placement agent for the offering a placement fee equal to 6.0% of the aggregate gross proceeds from the closing of the Private Placement Offering, or approximately $2.4 million, and expense reimbursement of $75,000.</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2024. There have not been any material changes to such critical accounting policies since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our operations are conducted is the U.S. dollar (“$” or “dollar”).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June 30, 2025, compared to the three months ended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three months ended June 30, 2025, revenue increased by $39,000, or 2.3%, to $1,778,000, from $1,739,000 during the three months ended June 30, 2024. Growth in the quarter was driven by continued adoption of our CGuard technology, as well as positive impact of foreign exchange, offset by a decrease in revenues from Russia due to exchange rates implications and certain European distributors managing CGuard inventory levels in anticipation of the CGuard Prime launch in Europe.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$113,000 increase in Latin America, a $39,000 increase in Asia, both due to continued adoption of our CGuard technology, and a $11,000 increase in North America due to sales in the United States related to stents used in our CGUARDIANS II pivotal study. This increase was offset by a $121,000 decrease in Europe and a $3,000 decrease in other territories driven by reasons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three months ended June 30, 2025, gross profit (revenue less cost of revenues) decreased by $18,000, or 5.4%, to $313,000, from $331,000 during the three months ended June 30, 2024. This decrease in gross profit resulted from an increase in write-offs and miscellaneous expense of $111,000, partially offset by the gross profit generated from the $93,000 increase in revenue (net of associated material and labor costs). Gross margin (gross profits as a percentage of revenue) decreased to 17.6% during the three months ended June 30, 2025, from 19.0% during the three months ended June 30, 2024, driven by the reasons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three months ended June 30, 2025, research and development expenses increased by $433,000, or 12.7%, to $3,834,000, from $3,401,000 during the three months ended June 30, 2024. This increase resulted primarily due to an increase in compensation expenses of $417,000 due to hiring of new employees in connection with our expansion in the United States and an increase of $16,000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three months ended June 30, 2025, selling and marketing expenses increased by $2,727,000, or 188.7%, to $4,172,000 from $1,445,000 during the three months ended June 30, 2024. This increase resulted primarily from an increase in compensation expenses of $2,317,000 and related travel expenses of $267,000 as the Company continued to build its U.S. commercial infrastructure in connection with   FDA approval for CGuard Prime and the commercial launch in the United States and an increase of $143,000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three months ended June 30, 2025, general and administrative expenses increased by $1,581,000, or 42.2%, to $5,326,000, from $3,745,000 during the three months ended June 30, 2024. The increase was primarily driven by a $1,119,000 increase in compensation expenses and related accruals, mainly due to new hires for our U.S. headquarters, salary increases and expected severance payments accrued as a result of our former chief financial officer’s announced retirement, a $98,000 increase for rent expenses, mainly related to our U.S. headquarters, and an increase of $364,000 in miscellaneous expenses.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 (Expenses)</w:t>
      </w:r>
      <w:r>
        <w:rPr>
          <w:rFonts w:ascii="Times New Roman;Times;Serif" w:hAnsi="Times New Roman;Times;Serif"/>
          <w:b w:val="false"/>
          <w:i w:val="false"/>
          <w:caps w:val="false"/>
          <w:smallCaps w:val="false"/>
          <w:sz w:val="20"/>
        </w:rPr>
        <w:t>. For the three months ended June 30, 2025, financial income decreased by $483,000 to $132,000 of financial expenses, from $351,000 of financial income during the three months ended June 30, 2024. The decrease in financial income primarily resulted from a $313,000 increase in financial expenses related to changes in exchange rates and a $169,000 decrease in financial income from investment in marketable securities and money market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three months ended June 30, 2025, there was no material change in our tax expenses as compared to the three months ended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$5,242,000, or 66.3%, to $13,151,000, for the three months ended June 30, 2025, from $7,909,000 during the three months ended June 30, 2024. The increase in net loss resulted primarily from an increase of $4,741,000 in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2025, compared to the six months ended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six months ended June 30, 2025, revenue increased by $57,000, or 1.8%, to $3,307,000, from $3,250,000 during the six months ended June 30, 2024. The increase was driven by continued adoption of our CGuard technology, as well as positive impact of foreign exchange, offset by a decrease in revenues from Russia due to exchange rates implications and certain European distributors managing CGuard inventory levels in anticipation of the CGuard Prime launch in Europe.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$163,000 increase in Latin America, a $60,000 increase in Asia, both due to continued adoption of our CGuard technology, and a $32,000 increase in North America due to sales in the United States related to stents used in our CGUARDIANS II pivotal study. This increase was offset by a $192,000 decrease in Europe driven by the impact of foreign exchange and distributors managing CGuard inventory levels in anticipation of the CGuard Prime launch in Europe, and a $6,000 decrease in other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six months ended June 30, 2025, gross profit (revenue less cost of revenues) decreased by $18,000, or 2.8%, to $605,000, compared to $623,000 for the same period in 2024. Gross margin (gross profit as a percentage of revenue) decreased to 18.3% for the six months ended June 30, 2025, from 19.2% for the six months ended June 30, 2024, driven by the factors mentioned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six months ended June 30, 2025, research and development expenses increased by 31.0%, or $1,867,000 to $7,893,000, from $6,026,000 during the six months ended June 30, 2024. This increase resulted primarily due to an increase of $932,000 of SwitchGuard NPS development and regulatory approval process including expenses related to CGUARDIANS II pivotal study of the CGuard Prime 80cm Carotid Stent System, an increase in compensation expenses of $786,000 due to hiring of new employees in connection with our expansion in the United States and due to an increase of share-based compensation-related expenses and an increase of $149,000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six months ended June 30, 2025, selling and marketing expenses increased by 158.1%, or $4,240,000, to $6,922,000, from $2,682,000 during the six months ended June 30, 2024. This increase resulted primarily from an increase in compensation expenses of $3,440,000 and related travel expenses of $396,000 as the Company continued to build its U.S. commercial infrastructure in connection with FDA approval for CGuard Prime and the commercial launch in the United States. In addition, there was an increase of $311,000 in promotional activities and an increase of $93,000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six months ended June 30, 2025, general and administrative expenses increased by 35.3%, or $2,680,000, to $10,269,000, from $7,589,000 during the six months ended June 30, 2024. The increase was primarily driven by a $1,877,000 increase in compensation expenses and related accruals, mainly due to new hires for our U.S. headquarters, salary increases and expected severance payments accrued as a result of our former chief financial officer’s announced retirement, a $290,000 increase in employee headhunting fees, $196,000 for rent expenses, mainly related to our U.S. headquarters, and an increase of $317,000 in miscellaneous expenses. </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six months ended June 30, 2025, financial income decreased by $571,000, to $162,000 of financial income, from $733,000 of financial income during the six months ended June 30, 2024. The decrease in financial income primarily resulted from a $280,000 decrease in income from investment in marketable securities and money market funds and a $292,000 increase in financial expenses related to changes in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six months ended June 30, 2025, there was no material change in our tax expenses as compared to the six months ended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$9,376,000, or 62.8%, to $24,317,000, for the six months ended June 30, 2025, from $14,941,000 during the six months ended June 30, 2024. The increase in net loss resulted primarily from an increase of $8,787,000 in operating expenses and a decrease of $571,000 in financial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an accumulated deficit as of June 30, 2025, of $278 million, as well as a net loss of $24.3 million and negative operating cash flows. We expect to continue incurring losses and negative cash flows from operations until our product, CGuard Prime, reaches commercial profitability.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closed a private placement offering of 10,266,270 shares of our common stock,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 of which $35.7  million have been received as of the date of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entered into an Equity Distribution Agreement with Piper Sandler &amp; Co., as sales agent (“Piper Sandler), pursuant to which we may offer and sell, from time to time, at our option, through or to Piper Sandler up to $75,000,000 of our common stock (the “ATM Program”). As of the issuance date of this report, we have sold 920,898 shares of our common stock for total gross proceeds of approximately $2,396 thousands under the ATM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2024, Series H warrants to purchase 12,914,086 shares of common stock that were issued in the May 2023 private placement were exercised in full into 292,996 of shares of common stock and pre-funded warrants to purchase 12,621,090 shares of common stock. The net proceeds to the Company from the exercise of the Series H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and July 2025, Series I warrants to purchase 12,914,078 shares of common stock that were issued in the May 2023 private placement were exercised in full into 2,352,393 of shares of common stock and pre-funded warrants to purchase 10,561,685 shares of common stock. The net proceeds to the Company from the exercise of the Series I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we closed the Private Placement Offering that resulted in aggregate gross proceeds of approximately $40.1 million, before deducting fees payable to the placement agent and other offering expenses payable by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2025, compared to the Six months ended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At June 30, 2025, we had cash and cash equivalents of $11,509,000 and marketable securities of $7,865,000, as compared to cash and cash equivalents of $18,916,000 and marketable securities of $15,721,000 as of December 31, 2024.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our operating activities increased by $7,707,000, or 81.8%, to $17,125,000, from $9,418,000 during the same period in 2024. The primary reason for the increase in cash used in our operating activities was an increase of $1,826,000 in payments for third party related expenses and for professional services, an increase of $5,288,000 in compensation costs paid during the six months  ended June 30, 2025 (from $6,186,000 in the six months ended June 30, 2024 to $11,474,000 in the six months ended June 30, 2025), a decrease of $346,000 in payments received from customers during the six months ended June 30, 2025 (from $3,726,000 in the six months ended June 30, 2024 to $3,380,000 during the six months ended June 30, 2025) and a decrease of $247,000 in interest income received from money market funds and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our investing activities was $7,024,000 during the six months ended June 30, 2025, compared to $10,323,000 during the six months ended June 30, 2024. The primary reason for the decrease in cash provided by our investing activities is investment of $3,029,000, net of withdrawal in marketable securities and an increase of $265,000 in payments made for purchase of property, plant and equipment during the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for the six months ended June 30, 2025, was $2,643,000. The source of the cash provided by financing activities during the six months ended June 30, 2025, were the proceeds from exercise of Series I warrants of $1,947,000, and proceeds from issuance of shares of $696,000, net of issuance costs, received from our ATM Program. Cash provided by financing activities for the six months June 30, 2024, was $17,854,000. The source of the cash provided by financing activities during the six months ended June 30, 2024, were the proceeds from exercise of Series 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That May Affect Future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there were no material changes to our contractual obligations and commitments since the year ended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condensed financial statements in Part I, Item 1 of this Quarterly Report on Form 10-Q for new accounting pronouncements adopted.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4" w:name="kee_012"/>
      <w:bookmarkEnd w:id="52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25" w:name="kee_013"/>
      <w:bookmarkEnd w:id="525"/>
      <w:r>
        <w:rPr>
          <w:rFonts w:ascii="Times New Roman;Times;Serif" w:hAnsi="Times New Roman;Times;Serif"/>
          <w:b/>
          <w:i w:val="false"/>
          <w:caps w:val="false"/>
          <w:smallCaps w:val="false"/>
          <w:sz w:val="20"/>
        </w:rPr>
        <w:t>Item 4. Controls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chief executive officer and chief financial officer concluded that our disclosure controls and procedures are effective at the reasonable assurance level as of June 30,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fiscal quarter ended June 30, 2025, that materially affected, or are reasonably likely to materially affect, our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6" w:name="kee_003"/>
      <w:bookmarkEnd w:id="526"/>
      <w:r>
        <w:rPr>
          <w:rFonts w:ascii="Times New Roman;Times;Serif" w:hAnsi="Times New Roman;Times;Serif"/>
          <w:b/>
          <w:i w:val="false"/>
          <w:caps w:val="false"/>
          <w:smallCaps w:val="false"/>
          <w:sz w:val="20"/>
        </w:rPr>
        <w:t>PART II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27" w:name="kee_004"/>
      <w:bookmarkEnd w:id="527"/>
      <w:r>
        <w:rPr>
          <w:rFonts w:ascii="Times New Roman;Times;Serif" w:hAnsi="Times New Roman;Times;Serif"/>
          <w:b/>
          <w:i w:val="false"/>
          <w:caps w:val="false"/>
          <w:smallCaps w:val="false"/>
          <w:sz w:val="20"/>
        </w:rPr>
        <w:t>Item 1. 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28" w:name="kee_005"/>
      <w:bookmarkEnd w:id="528"/>
      <w:r>
        <w:rPr>
          <w:rFonts w:ascii="Times New Roman;Times;Serif" w:hAnsi="Times New Roman;Times;Serif"/>
          <w:b/>
          <w:i w:val="false"/>
          <w:caps w:val="false"/>
          <w:smallCaps w:val="false"/>
          <w:sz w:val="20"/>
        </w:rPr>
        <w:t>Item 1A.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and the Risk Factors included in our previous filings made with the SEC, there have been no material changes to our risk factors from those disclosed in “Part I. Item 1A. Risk Factors” in the Form 10-K filed with the SEC on March 12, 2025.</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concluded that there is substantial doubt about our ability to continue as a going concern, and our condensed financial statements for the quarter ended June 30, 2025 includes an explanatory paragraph as to our ability to continue as a going concern, which could prevent us from obtaining new financing on reasonable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June 30, 2025 includes an explanatory paragraph as to our potential inability to continue as a going concern. The doubts regarding our potential ability to continue as a going concern may adversely affect our ability to obtain new financing on reasonable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shifts in the political, economic and military conditions in Israel and its neighbors, it could have a material adverse effect on our business relationships and profitability.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In October 2024, Israel began limited ground operations against Hezbollah in Lebanon, and in November 2024, a ceasefire was brokered between Israel and Hezbollah. In addition, in April 2024 and October 2024, Iran launched direct attacks on Israel involving hundreds of drones and missiles and has threatened to continue to attack Israel and is widely believed to be developing nuclear weapons. In June 2025, in light of continued nuclear threats and intelligence assessments indicating imminent attacks, Israel launched a preemptive strike directly targeting military and nuclear infrastructure inside Iran, aimed at disrupting Iran’s capacity to coordinate or launch further hostilities against Israel, as well as to degrade its nuclear program. In response, Iran launched multiple waves of drones and ballistic missiles at Israeli cities. While most of these attacks were intercepted, several caused civilian casualties and damage to infrastructure. The Israeli military has since conducted additional operations against Iranian assets. While a ceasefire was reached between Israel and Iran in June 2025 after 12 days of hostilities, the situation remains volatile. A broader regional conflict involving additional state and non-state actors remains a significant risk.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Such clashes may escalate in the future into a greater regional conflict.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all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66 full-time employees located in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 broke out on October 7, 2023, our operations have not been adversely affected by this situation.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intensity and duration of Israel’s current war is difficult to predict at this stage, as are such war’s economic implications on the Company’s business and operations and on Israel’s economy in general. If the ceasefires declared collapse or a new war commences or hostilities expand to other fronts, our operations may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including tariff and customs regulations, or failure to comply with such regulations may have an adverse effect on our reputation, business, financial condition and results of operations.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package and distribute all of our products, including the CGuard Prime carotid stent system, which we commercially launched in July 2025 following FDA approval of the PMA in June 2025, at our own facility in Israel. To support our anticipated production growth following the anticipated commercialization of the CGuard Prime carotid stent system, we have engaged Aptyx Interventional Systems (“Aptyx”), a contract manufacturer that is a developer and manufacturer of complex components and devices for the life sciences, to transfer the manufacturing of CGuard Prime finished goods to full-scale production at their ISO Class 7 cleanroom facility in North Carolina. While we are in the process of establishing manufacturing operations in the United States with Aptyx, this transition will take time, and until it is operational, we expect to rely entirely on product shipments from Israel to the U.S.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has recently imposed, or is currently considering imposing, tariffs on certain products, including medical devices, on certain trade partners, including Israel.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If new tariffs are enacted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29" w:name="kee_006"/>
      <w:bookmarkEnd w:id="52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30" w:name="kee_007"/>
      <w:bookmarkEnd w:id="530"/>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31" w:name="kee_008"/>
      <w:bookmarkEnd w:id="531"/>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32" w:name="kee_009"/>
      <w:bookmarkEnd w:id="532"/>
      <w:r>
        <w:rPr>
          <w:rFonts w:ascii="Times New Roman;Times;Serif" w:hAnsi="Times New Roman;Times;Serif"/>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2025, no director or officer of the Company </w:t>
      </w:r>
      <w:bookmarkStart w:id="533" w:name="xdx_900_eecd--NonRule10b51ArrAdoptedFlag"/>
      <w:bookmarkStart w:id="534" w:name="xdx_900_eecd--Rule10b51ArrAdoptedFlag_db"/>
      <w:bookmarkEnd w:id="533"/>
      <w:bookmarkEnd w:id="534"/>
      <w:r>
        <w:rPr>
          <w:rFonts w:ascii="Times New Roman;Times;Serif" w:hAnsi="Times New Roman;Times;Serif"/>
          <w:b w:val="false"/>
          <w:i w:val="false"/>
          <w:caps w:val="false"/>
          <w:smallCaps w:val="false"/>
          <w:sz w:val="20"/>
        </w:rPr>
        <w:t xml:space="preserve">adopted or </w:t>
      </w:r>
      <w:bookmarkStart w:id="535" w:name="xdx_90D_eecd--NonRule10b51ArrTrmntdFlag_"/>
      <w:bookmarkStart w:id="536" w:name="xdx_907_eecd--Rule10b51ArrTrmntdFlag_dbF"/>
      <w:bookmarkEnd w:id="535"/>
      <w:bookmarkEnd w:id="536"/>
      <w:r>
        <w:rPr>
          <w:rFonts w:ascii="Times New Roman;Times;Serif" w:hAnsi="Times New Roman;Times;Serif"/>
          <w:b w:val="false"/>
          <w:i w:val="false"/>
          <w:caps w:val="false"/>
          <w:smallCaps w:val="false"/>
          <w:sz w:val="20"/>
        </w:rPr>
        <w:t>terminated a “Rule 10b5-1 trading arrangement” or a “non-Rule 10b5-1 trading arrangement” (in each case, as defined in Item 408 of Regulation 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37" w:name="kee_010"/>
      <w:bookmarkEnd w:id="537"/>
      <w:r>
        <w:rPr>
          <w:rFonts w:ascii="Times New Roman;Times;Serif" w:hAnsi="Times New Roman;Times;Serif"/>
          <w:b/>
          <w:i w:val="false"/>
          <w:caps w:val="false"/>
          <w:smallCaps w:val="false"/>
          <w:sz w:val="20"/>
        </w:rPr>
        <w:t>Item 6.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3"/>
        <w:gridCol w:w="60"/>
        <w:gridCol w:w="9332"/>
      </w:tblGrid>
      <w:tr>
        <w:trPr/>
        <w:tc>
          <w:tcPr>
            <w:tcW w:w="81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through June 30, 2015 (incorporated by reference to Exhibit 3.1 to Quarterly Report on Form 10-Q filed with the Securities and Exchange Commission on May 9, 2015)</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to Current Report on Form 8-K filed with the Securities and Exchange Commission on June 29, 2021)</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May 25, 2016)</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29, 2016)</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C Convertible Preferred Stock (incorporated by reference to Exhibit 3.1 to the Current Report on Form 8-K filed on March 15, 2017)</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C Convertible Preferred Stock (incorporated by reference to Exhibit 3.1 to the Current Report on Form 8-K filed on November 29, 2017)</w:t>
              </w:r>
            </w:hyperlink>
          </w:p>
        </w:tc>
      </w:tr>
      <w:tr>
        <w:trPr/>
        <w:tc>
          <w:tcPr>
            <w:tcW w:w="8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B Convertible Preferred Stock (incorporated by reference to Exhibit 3.1 to the Current Report on Form 8-K filed on December 12, 2017)</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49"/>
        <w:gridCol w:w="60"/>
        <w:gridCol w:w="9496"/>
      </w:tblGrid>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February 7, 2018)</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March 28, 2019)</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dated April 14, 2021 (incorporated by reference to Exhibit 3.17 to the Quarterly Report on Form 10-Q filed on May 10, 2021)</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13, 2023)</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6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6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38" w:name="kee_011"/>
      <w:bookmarkEnd w:id="538"/>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760"/>
        <w:gridCol w:w="635"/>
        <w:gridCol w:w="365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2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Marvin Slosman,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539" w:name="ex31-1.htm"/>
      <w:bookmarkStart w:id="540" w:name="ksex311"/>
      <w:bookmarkEnd w:id="539"/>
      <w:bookmarkEnd w:id="540"/>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Marvin Slosman,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760"/>
        <w:gridCol w:w="2360"/>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pPr>
      <w:bookmarkStart w:id="541" w:name="ex31-2.htm"/>
      <w:bookmarkStart w:id="542" w:name="ksex312"/>
      <w:bookmarkEnd w:id="541"/>
      <w:bookmarkEnd w:id="542"/>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Lawless,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760"/>
        <w:gridCol w:w="365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pPr>
      <w:bookmarkStart w:id="543" w:name="ex32-1.htm"/>
      <w:bookmarkStart w:id="544" w:name="ksex321"/>
      <w:bookmarkEnd w:id="543"/>
      <w:bookmarkEnd w:id="544"/>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2025 as filed with the Securities and Exchange Commission on the date hereof (the “Report”), I, Marvin Slosman, Chief Executive Officer of the Company, certify, pursuant to 18 U.S.C. ss. 1350, that, to my knowledge: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jc w:val="both"/>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760"/>
        <w:gridCol w:w="590"/>
        <w:gridCol w:w="2360"/>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pPr>
      <w:bookmarkStart w:id="545" w:name="ex32-2.htm"/>
      <w:bookmarkStart w:id="546" w:name="ksex322"/>
      <w:bookmarkEnd w:id="545"/>
      <w:bookmarkEnd w:id="546"/>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2025 as filed with the Securities and Exchange Commission on the date hereof (the “Report”), I, Michael Lawless, Chief Financial Officer of the Company, certify, pursuant to 18 U.S.C. ss. 1350, that, to my knowledge: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760"/>
        <w:gridCol w:w="590"/>
        <w:gridCol w:w="3650"/>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Lawless</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Lawless</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607/000161577415003178/s102096_ex3-1.htm" TargetMode="External"/><Relationship Id="rId3" Type="http://schemas.openxmlformats.org/officeDocument/2006/relationships/hyperlink" Target="https://www.sec.gov/Archives/edgar/data/1433607/000149315221015545/ex3-2.htm" TargetMode="External"/><Relationship Id="rId4" Type="http://schemas.openxmlformats.org/officeDocument/2006/relationships/hyperlink" Target="https://www.sec.gov/Archives/edgar/data/1433607/000161577416005628/s103343_ex3-1.htm" TargetMode="External"/><Relationship Id="rId5" Type="http://schemas.openxmlformats.org/officeDocument/2006/relationships/hyperlink" Target="https://www.sec.gov/Archives/edgar/data/1433607/000149315216013705/ex3-1.htm" TargetMode="External"/><Relationship Id="rId6" Type="http://schemas.openxmlformats.org/officeDocument/2006/relationships/hyperlink" Target="https://www.sec.gov/Archives/edgar/data/1433607/000149315217002455/ex3-1.htm" TargetMode="External"/><Relationship Id="rId7" Type="http://schemas.openxmlformats.org/officeDocument/2006/relationships/hyperlink" Target="https://www.sec.gov/Archives/edgar/data/1433607/000149315217013917/ex3-1.htm" TargetMode="External"/><Relationship Id="rId8" Type="http://schemas.openxmlformats.org/officeDocument/2006/relationships/hyperlink" Target="https://www.sec.gov/Archives/edgar/data/1433607/000149315217014515/ex3-1.htm" TargetMode="External"/><Relationship Id="rId9" Type="http://schemas.openxmlformats.org/officeDocument/2006/relationships/hyperlink" Target="https://www.sec.gov/Archives/edgar/data/1433607/000149315218001617/ex3-1.htm" TargetMode="External"/><Relationship Id="rId10" Type="http://schemas.openxmlformats.org/officeDocument/2006/relationships/hyperlink" Target="https://www.sec.gov/Archives/edgar/data/1433607/000149315219004101/ex3-1.htm" TargetMode="External"/><Relationship Id="rId11" Type="http://schemas.openxmlformats.org/officeDocument/2006/relationships/hyperlink" Target="https://www.sec.gov/Archives/edgar/data/1433607/000149315221010881/ex3-17.htm" TargetMode="External"/><Relationship Id="rId12" Type="http://schemas.openxmlformats.org/officeDocument/2006/relationships/hyperlink" Target="https://www.sec.gov/Archives/edgar/data/1433607/000149315223032486/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14860</Words>
  <Characters>81335</Characters>
  <CharactersWithSpaces>97988</CharactersWithSpaces>
  <Paragraphs>4792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