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Stuka Paul</w:t>
              </w:r>
            </w:hyperlink>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InspireMD,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NSPR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660" w:type="dxa"/>
            <w:vAlign w:val="bottom"/>
            <w:tcBorders>
              <w:bottom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54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300" w:type="dxa"/>
            <w:vAlign w:val="bottom"/>
          </w:tcPr>
          <w:p>
            <w:pPr>
              <w:spacing w:after="0"/>
              <w:rPr>
                <w:sz w:val="16"/>
                <w:szCs w:val="16"/>
                <w:color w:val="auto"/>
              </w:rPr>
            </w:pPr>
          </w:p>
        </w:tc>
        <w:tc>
          <w:tcPr>
            <w:tcW w:w="1380" w:type="dxa"/>
            <w:vAlign w:val="bottom"/>
            <w:gridSpan w:val="2"/>
          </w:tcPr>
          <w:p>
            <w:pPr>
              <w:ind w:left="3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INSPIREMD, INC.</w:t>
            </w:r>
          </w:p>
        </w:tc>
        <w:tc>
          <w:tcPr>
            <w:tcW w:w="1340" w:type="dxa"/>
            <w:vAlign w:val="bottom"/>
          </w:tcPr>
          <w:p>
            <w:pPr>
              <w:spacing w:after="0"/>
              <w:rPr>
                <w:sz w:val="19"/>
                <w:szCs w:val="19"/>
                <w:color w:val="auto"/>
              </w:rPr>
            </w:pPr>
          </w:p>
        </w:tc>
        <w:tc>
          <w:tcPr>
            <w:tcW w:w="15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05/27/2026</w:t>
            </w: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6303 WATERFORD DISTRICT DRIVE, SUITE</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740" w:type="dxa"/>
            <w:vAlign w:val="bottom"/>
            <w:gridSpan w:val="3"/>
          </w:tcPr>
          <w:p>
            <w:pPr>
              <w:ind w:left="120"/>
              <w:spacing w:after="0" w:line="187" w:lineRule="exact"/>
              <w:rPr>
                <w:sz w:val="20"/>
                <w:szCs w:val="20"/>
                <w:color w:val="auto"/>
              </w:rPr>
            </w:pPr>
            <w:r>
              <w:rPr>
                <w:rFonts w:ascii="Times New Roman" w:cs="Times New Roman" w:eastAsia="Times New Roman" w:hAnsi="Times New Roman"/>
                <w:sz w:val="17"/>
                <w:szCs w:val="17"/>
                <w:color w:val="0000FF"/>
              </w:rPr>
              <w:t>215</w:t>
            </w: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6"/>
                <w:szCs w:val="16"/>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MIAMI</w:t>
            </w:r>
          </w:p>
        </w:tc>
        <w:tc>
          <w:tcPr>
            <w:tcW w:w="300" w:type="dxa"/>
            <w:vAlign w:val="bottom"/>
          </w:tcPr>
          <w:p>
            <w:pPr>
              <w:spacing w:after="0"/>
              <w:rPr>
                <w:sz w:val="10"/>
                <w:szCs w:val="10"/>
                <w:color w:val="auto"/>
              </w:rPr>
            </w:pPr>
          </w:p>
        </w:tc>
        <w:tc>
          <w:tcPr>
            <w:tcW w:w="5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FL</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33126</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300" w:type="dxa"/>
            <w:vAlign w:val="bottom"/>
          </w:tcPr>
          <w:p>
            <w:pPr>
              <w:spacing w:after="0"/>
              <w:rPr>
                <w:sz w:val="24"/>
                <w:szCs w:val="24"/>
                <w:color w:val="auto"/>
              </w:rPr>
            </w:pPr>
          </w:p>
        </w:tc>
        <w:tc>
          <w:tcPr>
            <w:tcW w:w="1380" w:type="dxa"/>
            <w:vAlign w:val="bottom"/>
            <w:gridSpan w:val="2"/>
          </w:tcPr>
          <w:p>
            <w:pPr>
              <w:ind w:left="3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gridSpan w:val="3"/>
          </w:tcPr>
          <w:p>
            <w:pPr>
              <w:spacing w:after="0"/>
              <w:rPr>
                <w:sz w:val="10"/>
                <w:szCs w:val="10"/>
                <w:color w:val="auto"/>
              </w:rPr>
            </w:pPr>
          </w:p>
        </w:tc>
        <w:tc>
          <w:tcPr>
            <w:tcW w:w="238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8"/>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5"/>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20"/>
              <w:spacing w:after="0"/>
              <w:rPr>
                <w:sz w:val="20"/>
                <w:szCs w:val="20"/>
                <w:color w:val="auto"/>
              </w:rPr>
            </w:pPr>
            <w:r>
              <w:rPr>
                <w:rFonts w:ascii="Times New Roman" w:cs="Times New Roman" w:eastAsia="Times New Roman" w:hAnsi="Times New Roman"/>
                <w:sz w:val="17"/>
                <w:szCs w:val="17"/>
                <w:color w:val="0000FF"/>
              </w:rPr>
              <w:t>05/27/2026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20,000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4"/>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0.875</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667,871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7"/>
                <w:szCs w:val="17"/>
                <w:color w:val="0000FF"/>
              </w:rPr>
              <w:t>423,704</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60" w:type="dxa"/>
            <w:vAlign w:val="bottom"/>
            <w:gridSpan w:val="4"/>
            <w:vMerge w:val="continue"/>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258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54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58"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reported securities were purchased in multiple transactions at prices ranging from $0.87 to $0.88. The reporting person undertakes to provide to the Issuer, any security holder of the Issuer, or the staff of the Securities and Exchange Commission, upon request, full information regarding the number of shares sold at each separate price within such range.</w:t>
      </w:r>
    </w:p>
    <w:p>
      <w:pPr>
        <w:spacing w:after="0" w:line="171" w:lineRule="exact"/>
        <w:rPr>
          <w:rFonts w:ascii="Times New Roman" w:cs="Times New Roman" w:eastAsia="Times New Roman" w:hAnsi="Times New Roman"/>
          <w:sz w:val="13"/>
          <w:szCs w:val="13"/>
          <w:color w:val="008000"/>
        </w:rPr>
      </w:pPr>
    </w:p>
    <w:p>
      <w:pPr>
        <w:ind w:left="40" w:right="180" w:firstLine="7"/>
        <w:spacing w:after="0" w:line="245"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by Osiris Investment Partners, L.P. ("Osiris"). The Reporting Person serves as the managing member of Osiris Partners, LLC, the general partner of Osiris. In such capacity, the Reporting Person may be deemed to beneficially own the reported securities. The Reporting Person disclaims beneficial ownership of the reported securities except to the extent of his pecuniary interest therein, and the inclusion of such securities in this report shall not be deemed an admission of beneficial ownership for purposes of Section 16 or for any other purposes. No transaction has been effected by the Reporting Person with respect to these securities, and they are being included in this Form 4 for informational purposes only.</w:t>
      </w:r>
    </w:p>
    <w:p>
      <w:pPr>
        <w:ind w:left="6580"/>
        <w:spacing w:after="0" w:line="181" w:lineRule="auto"/>
        <w:rPr>
          <w:sz w:val="20"/>
          <w:szCs w:val="20"/>
          <w:color w:val="auto"/>
        </w:rPr>
      </w:pPr>
      <w:r>
        <w:rPr>
          <w:rFonts w:ascii="Times New Roman" w:cs="Times New Roman" w:eastAsia="Times New Roman" w:hAnsi="Times New Roman"/>
          <w:sz w:val="17"/>
          <w:szCs w:val="17"/>
          <w:color w:val="0000FF"/>
        </w:rPr>
        <w:t xml:space="preserve">/s/ Michael Lawless, Attorney- </w:t>
      </w:r>
      <w:r>
        <w:rPr>
          <w:rFonts w:ascii="Times New Roman" w:cs="Times New Roman" w:eastAsia="Times New Roman" w:hAnsi="Times New Roman"/>
          <w:sz w:val="33"/>
          <w:szCs w:val="33"/>
          <w:color w:val="0000FF"/>
          <w:vertAlign w:val="subscript"/>
        </w:rPr>
        <w:t>05/29/2026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Paul Stuka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683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28577" TargetMode="External"/><Relationship Id="rId14" Type="http://schemas.openxmlformats.org/officeDocument/2006/relationships/hyperlink" Target="http://www.sec.gov/cgi-bin/browse-edgar?action=getcompany&amp;CIK=00014336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2026-05-29T16:54:23Z</dcterms:created>
  <dcterms:modified xsi:type="dcterms:W3CDTF">2026-05-29T16:54:23Z</dcterms:modified>
</cp:coreProperties>
</file>