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InspireMD,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Velan Capital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2,347,779.00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Velan Capital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2,347,779.00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Velan Capital Investment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2,347,779.00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Velan Capital Management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2,347,779.00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Adam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2,347,779.00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2,347,779.00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2,347,779.00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Venkataraman Balaji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2,347,779.00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2,347,779.00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InspireMD,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6303 WATERFORD DISTRICT DRIVE, SUITE 215, MIAMI, FL, 33126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right="320"/>
        <w:spacing w:after="0" w:line="249" w:lineRule="auto"/>
        <w:rPr>
          <w:sz w:val="20"/>
          <w:szCs w:val="20"/>
          <w:color w:val="auto"/>
        </w:rPr>
      </w:pPr>
      <w:r>
        <w:rPr>
          <w:rFonts w:ascii="Times New Roman" w:cs="Times New Roman" w:eastAsia="Times New Roman" w:hAnsi="Times New Roman"/>
          <w:sz w:val="21"/>
          <w:szCs w:val="21"/>
          <w:color w:val="auto"/>
        </w:rPr>
        <w:t>This statement is filed by: (i) Velan Capital Master Fund LP, an exempted limited partnership organized under the laws of the Cayman Islands ("Velan Master"), with respect to the shares of Common Stock, par value $0.0001 per share (the "Shares"), directly and beneficially owned by it; (ii) Velan Capital Holdings LLC, a Delaware limited</w:t>
      </w:r>
    </w:p>
    <w:p>
      <w:pPr>
        <w:spacing w:after="0" w:line="1" w:lineRule="exact"/>
        <w:rPr>
          <w:sz w:val="20"/>
          <w:szCs w:val="20"/>
          <w:color w:val="auto"/>
        </w:rPr>
      </w:pPr>
    </w:p>
    <w:p>
      <w:pPr>
        <w:jc w:val="both"/>
        <w:ind w:left="920" w:right="120" w:hanging="912"/>
        <w:spacing w:after="0" w:line="241"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liability company ("Velan GP"), as the general partner of Velan Master; (iii) Velan Capital Investment Management LP, a Delaware limited partnership ("Velan Capital"), as the investment manager of Velan Master; (iv) Velan Capital Management LLC, a Delaware limited liability company ("Velan IM GP"), as the general partner of Velan Capital;</w:t>
      </w:r>
    </w:p>
    <w:p>
      <w:pPr>
        <w:spacing w:after="0" w:line="1" w:lineRule="exact"/>
        <w:rPr>
          <w:rFonts w:ascii="Times New Roman" w:cs="Times New Roman" w:eastAsia="Times New Roman" w:hAnsi="Times New Roman"/>
          <w:sz w:val="21"/>
          <w:szCs w:val="21"/>
          <w:color w:val="auto"/>
        </w:rPr>
      </w:pPr>
    </w:p>
    <w:p>
      <w:pPr>
        <w:ind w:left="9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 Adam Morgan, as a Managing Member of each of Velan GP and Velan IM GP; and (vi) Balaji Venkataraman, as a Managing Member of each of Velan GP and Velan IM GP. Each of the foregoing is referred to as a "Reporting Person" and collectively as the "Reporting Persons."</w:t>
      </w:r>
    </w:p>
    <w:p>
      <w:pPr>
        <w:spacing w:after="0" w:line="1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1"/>
          <w:szCs w:val="21"/>
          <w:color w:val="auto"/>
        </w:rPr>
      </w:pPr>
    </w:p>
    <w:p>
      <w:pPr>
        <w:ind w:left="920" w:right="3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office of Velan Master is 89 Nexus Way, Camana Bay, Grand Cayman KY1-9009, Cayman Islands. The address of the principal office of each of Velan GP, Velan Capital, Velan IM GP and Messrs. Morgan and Venkataraman is 100 North Main Street, Suite 301, Alpharetta, Georgia 30009.</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46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Velan Master is organized under the laws of the Cayman Islands. Velan GP, Velan Capital and Velan IM GP are organized under the laws of the State of Delaware. Messrs. Morgan and Venkataraman are citizens of the United States of America.</w:t>
      </w:r>
    </w:p>
    <w:p>
      <w:pPr>
        <w:sectPr>
          <w:pgSz w:w="11900" w:h="16838" w:orient="portrait"/>
          <w:cols w:equalWidth="0" w:num="1">
            <w:col w:w="11080"/>
          </w:cols>
          <w:pgMar w:left="360" w:top="111" w:right="45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March 31, 2026: (i) Velan Master directly beneficially owns 2,347,779 Shares, including 248,127 Shares underlying certain Warrants (as defined below). In addition to 2,099,652 Shares directly owned as of March 31, 2026, Velan Master directly owned: (i) Series J Warrants exercisable into 452,015 Shares, which are subject to a 4.99% beneficial ownership limitation, (ii) Series K Warrants exercisable into 452,014 Shares, which are subject to a 4.99% beneficial ownership limitation, and (iii) Pre-funded Warrants exercisable into 904,029 Shares, which are subject to a 4.99% beneficial ownership limitation (collectively, the "Warrants"). Due to the respective beneficial ownership limitations, the Shares issuable upon the exercise of the Warrants in excess of the beneficial ownership limitations have been excluded from Velan Master's beneficial ownership reported herein. (ii) Velan GP, as the general partner of Velan Master, may be deemed to beneficially own the 2,347,779 Shares</w:t>
      </w:r>
    </w:p>
    <w:p>
      <w:pPr>
        <w:sectPr>
          <w:pgSz w:w="11900" w:h="16838" w:orient="portrait"/>
          <w:cols w:equalWidth="0" w:num="1">
            <w:col w:w="11080"/>
          </w:cols>
          <w:pgMar w:left="360" w:top="111" w:right="459" w:bottom="0" w:gutter="0" w:footer="0" w:header="0"/>
          <w:type w:val="continuous"/>
        </w:sectPr>
      </w:pPr>
    </w:p>
    <w:bookmarkStart w:id="6" w:name="page7"/>
    <w:bookmarkEnd w:id="6"/>
    <w:p>
      <w:pPr>
        <w:ind w:left="920"/>
        <w:spacing w:after="0" w:line="233" w:lineRule="auto"/>
        <w:rPr>
          <w:sz w:val="20"/>
          <w:szCs w:val="20"/>
          <w:color w:val="auto"/>
        </w:rPr>
      </w:pPr>
      <w:r>
        <w:rPr>
          <w:rFonts w:ascii="Times New Roman" w:cs="Times New Roman" w:eastAsia="Times New Roman" w:hAnsi="Times New Roman"/>
          <w:sz w:val="22"/>
          <w:szCs w:val="22"/>
          <w:color w:val="auto"/>
        </w:rPr>
        <w:t>beneficially owned directly by Velan Master; (iii) Velan Capital, as the investment manager of Velan Master, may be deemed to beneficially own the 2,347,779 Shares beneficially owned directly by Velan Master; (iv) Velan IM GP, as the general partner of Velan Capital, may be deemed to beneficially own the 2,347,779 Shares beneficially owned directly by Velan Master; (v) Mr. Morgan, as a Managing Member of each of Velan GP and Velan IM GP, may be deemed to beneficially own the 2,347,779 Shares beneficially owned directly by Velan Master; and (vi) Mr. Venkataraman, as a Managing Member of each of Velan GP and Velan IM GP, may be deemed to beneficially own the 2,347,779 Shares beneficially owned directly by Velan Master. The filing of this Schedule 13G shall not be construed as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280"/>
        <w:spacing w:after="0" w:line="249" w:lineRule="auto"/>
        <w:rPr>
          <w:sz w:val="20"/>
          <w:szCs w:val="20"/>
          <w:color w:val="auto"/>
        </w:rPr>
      </w:pPr>
      <w:r>
        <w:rPr>
          <w:rFonts w:ascii="Times New Roman" w:cs="Times New Roman" w:eastAsia="Times New Roman" w:hAnsi="Times New Roman"/>
          <w:sz w:val="21"/>
          <w:szCs w:val="21"/>
          <w:color w:val="auto"/>
        </w:rPr>
        <w:t>The following percentages are based on 46,801,561 Shares outstanding as of March 18, 2026, which is the total number of Shares outstanding as reported in the Issuer's Annual Report on Form 10-K filed with the Securities and Exchange Commission on March 18, 2026, plus the Shares underlying the Warrants that may be exercised by the</w:t>
      </w:r>
    </w:p>
    <w:p>
      <w:pPr>
        <w:spacing w:after="0" w:line="1" w:lineRule="exact"/>
        <w:rPr>
          <w:sz w:val="20"/>
          <w:szCs w:val="20"/>
          <w:color w:val="auto"/>
        </w:rPr>
      </w:pPr>
    </w:p>
    <w:p>
      <w:pPr>
        <w:ind w:left="920" w:right="20" w:hanging="912"/>
        <w:spacing w:after="0" w:line="204"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as applicable, subject to the beneficial ownership limitations. As of the close of business on March 31, 2026, (i) Velan Master beneficially owned approximately 4.99% of the outstanding Shares, (ii) Velan GP may be deemed to beneficially own approximately 4.99% of the outstanding Shares, (iii) Velan Capital may be deemed to beneficially own approximately 4.99% of the outstanding Shares, (iv) Velan IM GP may be deemed to beneficially own approximately 4.99% of the outstanding Shares, (v) Mr. Morgan may be deemed to beneficially own approximately 4.99% of the outstanding Shares and (vi) Mr. Venkataraman may be deemed to beneficially own approximately 4.99% of the outstanding Shares. %</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47"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to the Schedule 13G filed by the Reporting Persons on August 6,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47"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Velan Capital Master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Morgan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Morgan, Managing Member of Velan</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Capital Holdings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Velan Capital Holdings LLC</w:t>
      </w:r>
    </w:p>
    <w:p>
      <w:pPr>
        <w:spacing w:after="0" w:line="152" w:lineRule="exact"/>
        <w:rPr>
          <w:sz w:val="20"/>
          <w:szCs w:val="20"/>
          <w:color w:val="auto"/>
        </w:rPr>
      </w:pPr>
    </w:p>
    <w:p>
      <w:pPr>
        <w:ind w:left="410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Morgan</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Adam Morgan, Managing Member</w:t>
      </w:r>
    </w:p>
    <w:p>
      <w:pPr>
        <w:spacing w:after="0" w:line="44" w:lineRule="exact"/>
        <w:rPr>
          <w:sz w:val="20"/>
          <w:szCs w:val="20"/>
          <w:color w:val="auto"/>
        </w:rPr>
      </w:pPr>
    </w:p>
    <w:p>
      <w:pPr>
        <w:ind w:left="410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Velan Capital Investment Management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Morgan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Morgan, Managing Member of Velan</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Capital Management 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Velan Capital Management LLC</w:t>
      </w:r>
    </w:p>
    <w:p>
      <w:pPr>
        <w:spacing w:after="0" w:line="152" w:lineRule="exact"/>
        <w:rPr>
          <w:sz w:val="20"/>
          <w:szCs w:val="20"/>
          <w:color w:val="auto"/>
        </w:rPr>
      </w:pPr>
    </w:p>
    <w:p>
      <w:pPr>
        <w:ind w:left="410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Morgan</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Adam Morgan, Managing Member</w:t>
      </w:r>
    </w:p>
    <w:p>
      <w:pPr>
        <w:spacing w:after="0" w:line="44" w:lineRule="exact"/>
        <w:rPr>
          <w:sz w:val="20"/>
          <w:szCs w:val="20"/>
          <w:color w:val="auto"/>
        </w:rPr>
      </w:pPr>
    </w:p>
    <w:p>
      <w:pPr>
        <w:ind w:left="410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Morgan Adam</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Morgan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Adam Morgan</w:t>
      </w:r>
    </w:p>
    <w:p>
      <w:pPr>
        <w:spacing w:after="0" w:line="44"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Venkataraman Balaji</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Balaji Venkataraman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Balaji Venkataraman</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2026-05-15T09:24:40Z</dcterms:created>
  <dcterms:modified xsi:type="dcterms:W3CDTF">2026-05-15T09:24:40Z</dcterms:modified>
</cp:coreProperties>
</file>