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780" w:right="1760" w:hanging="3772"/>
        <w:spacing w:after="0" w:line="500" w:lineRule="auto"/>
        <w:tabs>
          <w:tab w:leader="none" w:pos="33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37" w:lineRule="exact"/>
        <w:rPr>
          <w:sz w:val="24"/>
          <w:szCs w:val="24"/>
          <w:color w:val="auto"/>
        </w:rPr>
      </w:pPr>
    </w:p>
    <w:p>
      <w:pPr>
        <w:ind w:left="3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001-35731</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InspireMD,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26-2123838</w:t>
      </w:r>
    </w:p>
    <w:p>
      <w:pPr>
        <w:spacing w:after="0" w:line="3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2">
            <w:col w:w="7100" w:space="720"/>
            <w:col w:w="3420"/>
          </w:cols>
          <w:pgMar w:left="320" w:top="740" w:right="339" w:bottom="1440" w:gutter="0" w:footer="0" w:header="0"/>
          <w:type w:val="continuous"/>
        </w:sectPr>
      </w:pP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6303 Waterford District Drive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215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Miami, Florida 33126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(Zip Code)</w:t>
      </w:r>
    </w:p>
    <w:p>
      <w:pPr>
        <w:sectPr>
          <w:pgSz w:w="11900" w:h="16838" w:orient="portrait"/>
          <w:cols w:equalWidth="0" w:num="1">
            <w:col w:w="11240"/>
          </w:cols>
          <w:pgMar w:left="320" w:top="740"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(888) 776-6804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p>
      <w:pPr>
        <w:ind w:left="186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63" w:lineRule="exact"/>
        <w:rPr>
          <w:sz w:val="24"/>
          <w:szCs w:val="24"/>
          <w:color w:val="auto"/>
        </w:rPr>
      </w:pPr>
    </w:p>
    <w:p>
      <w:pPr>
        <w:ind w:left="1900"/>
        <w:spacing w:after="0" w:line="207" w:lineRule="exact"/>
        <w:tabs>
          <w:tab w:leader="none" w:pos="7380" w:val="left"/>
        </w:tabs>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9" w:lineRule="exact"/>
        <w:rPr>
          <w:sz w:val="24"/>
          <w:szCs w:val="24"/>
          <w:color w:val="auto"/>
        </w:rPr>
      </w:pPr>
    </w:p>
    <w:p>
      <w:pPr>
        <w:ind w:left="74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NSPR</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$0.0001 par value, outstanding as of May 8, 2025: 30,635,346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60" w:type="dxa"/>
            <w:vAlign w:val="bottom"/>
            <w:gridSpan w:val="5"/>
          </w:tcPr>
          <w:p>
            <w:pPr>
              <w:ind w:left="19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45"/>
        </w:trPr>
        <w:tc>
          <w:tcPr>
            <w:tcW w:w="9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6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316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0"/>
        </w:trPr>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180" w:type="dxa"/>
            <w:vAlign w:val="bottom"/>
            <w:gridSpan w:val="3"/>
            <w:shd w:val="clear" w:color="auto" w:fill="CCEEFF"/>
          </w:tcPr>
          <w:p>
            <w:pPr>
              <w:jc w:val="center"/>
              <w:ind w:right="4560"/>
              <w:spacing w:after="0"/>
              <w:rPr>
                <w:sz w:val="20"/>
                <w:szCs w:val="20"/>
                <w:color w:val="auto"/>
              </w:rPr>
            </w:pPr>
            <w:r>
              <w:rPr>
                <w:rFonts w:ascii="Times New Roman" w:cs="Times New Roman" w:eastAsia="Times New Roman" w:hAnsi="Times New Roman"/>
                <w:sz w:val="18"/>
                <w:szCs w:val="18"/>
                <w:color w:val="auto"/>
                <w:w w:val="95"/>
              </w:rPr>
              <w:t>PART I</w:t>
            </w:r>
          </w:p>
        </w:tc>
        <w:tc>
          <w:tcPr>
            <w:tcW w:w="640" w:type="dxa"/>
            <w:vAlign w:val="bottom"/>
            <w:shd w:val="clear" w:color="auto" w:fill="CCEEFF"/>
          </w:tcPr>
          <w:p>
            <w:pPr>
              <w:spacing w:after="0"/>
              <w:rPr>
                <w:sz w:val="18"/>
                <w:szCs w:val="18"/>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180" w:type="dxa"/>
            <w:vAlign w:val="bottom"/>
            <w:gridSpan w:val="3"/>
            <w:shd w:val="clear" w:color="auto" w:fill="CCEEFF"/>
          </w:tcPr>
          <w:p>
            <w:pPr>
              <w:jc w:val="center"/>
              <w:ind w:right="4580"/>
              <w:spacing w:after="0" w:line="176" w:lineRule="exact"/>
              <w:rPr>
                <w:sz w:val="20"/>
                <w:szCs w:val="20"/>
                <w:color w:val="auto"/>
              </w:rPr>
            </w:pPr>
            <w:r>
              <w:rPr>
                <w:rFonts w:ascii="Times New Roman" w:cs="Times New Roman" w:eastAsia="Times New Roman" w:hAnsi="Times New Roman"/>
                <w:sz w:val="18"/>
                <w:szCs w:val="18"/>
                <w:color w:val="0000EE"/>
                <w:w w:val="95"/>
              </w:rPr>
              <w:t>PART II</w:t>
            </w:r>
          </w:p>
        </w:tc>
        <w:tc>
          <w:tcPr>
            <w:tcW w:w="640" w:type="dxa"/>
            <w:vAlign w:val="bottom"/>
            <w:shd w:val="clear" w:color="auto" w:fill="CCEEFF"/>
          </w:tcPr>
          <w:p>
            <w:pPr>
              <w:spacing w:after="0"/>
              <w:rPr>
                <w:sz w:val="17"/>
                <w:szCs w:val="17"/>
                <w:color w:val="auto"/>
              </w:rPr>
            </w:pPr>
          </w:p>
        </w:tc>
      </w:tr>
      <w:tr>
        <w:trPr>
          <w:trHeight w:val="176"/>
        </w:trPr>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4440" w:type="dxa"/>
            <w:vAlign w:val="bottom"/>
            <w:tcBorders>
              <w:top w:val="single" w:sz="8" w:color="CCEEFF"/>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00" w:type="dxa"/>
            <w:vAlign w:val="bottom"/>
            <w:tcBorders>
              <w:top w:val="single" w:sz="8" w:color="0000EE"/>
            </w:tcBorders>
          </w:tcPr>
          <w:p>
            <w:pPr>
              <w:spacing w:after="0"/>
              <w:rPr>
                <w:sz w:val="15"/>
                <w:szCs w:val="15"/>
                <w:color w:val="auto"/>
              </w:rPr>
            </w:pPr>
          </w:p>
        </w:tc>
        <w:tc>
          <w:tcPr>
            <w:tcW w:w="458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62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0"/>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902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432"/>
        </w:trPr>
        <w:tc>
          <w:tcPr>
            <w:tcW w:w="9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gridSpan w:val="9"/>
          </w:tcPr>
          <w:p>
            <w:pPr>
              <w:ind w:left="4600"/>
              <w:spacing w:after="0"/>
              <w:rPr>
                <w:sz w:val="20"/>
                <w:szCs w:val="20"/>
                <w:color w:val="auto"/>
              </w:rPr>
            </w:pPr>
            <w:r>
              <w:rPr>
                <w:rFonts w:ascii="Times New Roman" w:cs="Times New Roman" w:eastAsia="Times New Roman" w:hAnsi="Times New Roman"/>
                <w:sz w:val="18"/>
                <w:szCs w:val="18"/>
                <w:color w:val="auto"/>
              </w:rPr>
              <w:t>2</w:t>
            </w:r>
          </w:p>
        </w:tc>
        <w:tc>
          <w:tcPr>
            <w:tcW w:w="14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980" w:type="dxa"/>
            <w:vAlign w:val="bottom"/>
          </w:tcPr>
          <w:p>
            <w:pPr>
              <w:spacing w:after="0"/>
              <w:rPr>
                <w:sz w:val="20"/>
                <w:szCs w:val="20"/>
                <w:color w:val="auto"/>
              </w:rPr>
            </w:pPr>
          </w:p>
        </w:tc>
      </w:tr>
      <w:tr>
        <w:trPr>
          <w:trHeight w:val="414"/>
        </w:trPr>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40" w:type="dxa"/>
            <w:vAlign w:val="bottom"/>
          </w:tcPr>
          <w:p>
            <w:pPr>
              <w:jc w:val="center"/>
              <w:ind w:right="3130"/>
              <w:spacing w:after="0"/>
              <w:rPr>
                <w:sz w:val="20"/>
                <w:szCs w:val="20"/>
                <w:color w:val="auto"/>
              </w:rPr>
            </w:pPr>
            <w:r>
              <w:rPr>
                <w:rFonts w:ascii="Times New Roman" w:cs="Times New Roman" w:eastAsia="Times New Roman" w:hAnsi="Times New Roman"/>
                <w:sz w:val="18"/>
                <w:szCs w:val="18"/>
                <w:b w:val="1"/>
                <w:bCs w:val="1"/>
                <w:color w:val="auto"/>
              </w:rPr>
              <w:t>INSPIREMD, INC.</w:t>
            </w:r>
          </w:p>
        </w:tc>
        <w:tc>
          <w:tcPr>
            <w:tcW w:w="980" w:type="dxa"/>
            <w:vAlign w:val="bottom"/>
          </w:tcPr>
          <w:p>
            <w:pPr>
              <w:spacing w:after="0"/>
              <w:rPr>
                <w:sz w:val="24"/>
                <w:szCs w:val="24"/>
                <w:color w:val="auto"/>
              </w:rPr>
            </w:pPr>
          </w:p>
        </w:tc>
      </w:tr>
      <w:tr>
        <w:trPr>
          <w:trHeight w:val="216"/>
        </w:trPr>
        <w:tc>
          <w:tcPr>
            <w:tcW w:w="2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380" w:type="dxa"/>
            <w:vAlign w:val="bottom"/>
            <w:gridSpan w:val="3"/>
          </w:tcPr>
          <w:p>
            <w:pPr>
              <w:jc w:val="center"/>
              <w:ind w:right="1790"/>
              <w:spacing w:after="0"/>
              <w:rPr>
                <w:sz w:val="20"/>
                <w:szCs w:val="20"/>
                <w:color w:val="auto"/>
              </w:rPr>
            </w:pPr>
            <w:r>
              <w:rPr>
                <w:rFonts w:ascii="Times New Roman" w:cs="Times New Roman" w:eastAsia="Times New Roman" w:hAnsi="Times New Roman"/>
                <w:sz w:val="18"/>
                <w:szCs w:val="18"/>
                <w:color w:val="auto"/>
                <w:w w:val="98"/>
              </w:rPr>
              <w:t>CONDENSED CONSOLIDATED FINANCIAL STATEMENTS</w:t>
            </w:r>
          </w:p>
        </w:tc>
        <w:tc>
          <w:tcPr>
            <w:tcW w:w="980" w:type="dxa"/>
            <w:vAlign w:val="bottom"/>
          </w:tcPr>
          <w:p>
            <w:pPr>
              <w:spacing w:after="0"/>
              <w:rPr>
                <w:sz w:val="18"/>
                <w:szCs w:val="18"/>
                <w:color w:val="auto"/>
              </w:rPr>
            </w:pPr>
          </w:p>
        </w:tc>
      </w:tr>
      <w:tr>
        <w:trPr>
          <w:trHeight w:val="234"/>
        </w:trPr>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380" w:type="dxa"/>
            <w:vAlign w:val="bottom"/>
            <w:gridSpan w:val="3"/>
          </w:tcPr>
          <w:p>
            <w:pPr>
              <w:jc w:val="center"/>
              <w:ind w:right="1810"/>
              <w:spacing w:after="0"/>
              <w:rPr>
                <w:sz w:val="20"/>
                <w:szCs w:val="20"/>
                <w:color w:val="auto"/>
              </w:rPr>
            </w:pPr>
            <w:r>
              <w:rPr>
                <w:rFonts w:ascii="Times New Roman" w:cs="Times New Roman" w:eastAsia="Times New Roman" w:hAnsi="Times New Roman"/>
                <w:sz w:val="18"/>
                <w:szCs w:val="18"/>
                <w:color w:val="auto"/>
                <w:w w:val="99"/>
              </w:rPr>
              <w:t>AS OF AND FOR THE QUARTER ENDED MARCH 31, 2025</w:t>
            </w:r>
          </w:p>
        </w:tc>
        <w:tc>
          <w:tcPr>
            <w:tcW w:w="98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40" w:type="dxa"/>
            <w:vAlign w:val="bottom"/>
          </w:tcPr>
          <w:p>
            <w:pPr>
              <w:jc w:val="center"/>
              <w:ind w:right="313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980" w:type="dxa"/>
            <w:vAlign w:val="bottom"/>
          </w:tcPr>
          <w:p>
            <w:pPr>
              <w:spacing w:after="0"/>
              <w:rPr>
                <w:sz w:val="24"/>
                <w:szCs w:val="24"/>
                <w:color w:val="auto"/>
              </w:rPr>
            </w:pPr>
          </w:p>
        </w:tc>
      </w:tr>
      <w:tr>
        <w:trPr>
          <w:trHeight w:val="432"/>
        </w:trPr>
        <w:tc>
          <w:tcPr>
            <w:tcW w:w="21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604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0"/>
        </w:trPr>
        <w:tc>
          <w:tcPr>
            <w:tcW w:w="102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 (UNAUDITED):</w:t>
            </w:r>
          </w:p>
        </w:tc>
        <w:tc>
          <w:tcPr>
            <w:tcW w:w="980" w:type="dxa"/>
            <w:vAlign w:val="bottom"/>
            <w:shd w:val="clear" w:color="auto" w:fill="CCEEFF"/>
          </w:tcPr>
          <w:p>
            <w:pPr>
              <w:spacing w:after="0"/>
              <w:rPr>
                <w:sz w:val="18"/>
                <w:szCs w:val="18"/>
                <w:color w:val="auto"/>
              </w:rPr>
            </w:pPr>
          </w:p>
        </w:tc>
      </w:tr>
      <w:tr>
        <w:trPr>
          <w:trHeight w:val="175"/>
        </w:trPr>
        <w:tc>
          <w:tcPr>
            <w:tcW w:w="102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F-2 - F-3</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6"/>
        </w:trPr>
        <w:tc>
          <w:tcPr>
            <w:tcW w:w="10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2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Equity</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0"/>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7380" w:type="dxa"/>
            <w:vAlign w:val="bottom"/>
            <w:tcBorders>
              <w:bottom w:val="single" w:sz="8" w:color="CCEEFF"/>
            </w:tcBorders>
            <w:gridSpan w:val="3"/>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176"/>
        </w:trPr>
        <w:tc>
          <w:tcPr>
            <w:tcW w:w="102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F-8 - F-14</w:t>
            </w:r>
          </w:p>
        </w:tc>
      </w:tr>
      <w:tr>
        <w:trPr>
          <w:trHeight w:val="453"/>
        </w:trPr>
        <w:tc>
          <w:tcPr>
            <w:tcW w:w="210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860" w:type="dxa"/>
            <w:vAlign w:val="bottom"/>
            <w:tcBorders>
              <w:top w:val="single" w:sz="8" w:color="0000EE"/>
              <w:bottom w:val="single" w:sz="8" w:color="auto"/>
            </w:tcBorders>
          </w:tcPr>
          <w:p>
            <w:pPr>
              <w:spacing w:after="0"/>
              <w:rPr>
                <w:sz w:val="24"/>
                <w:szCs w:val="24"/>
                <w:color w:val="auto"/>
              </w:rPr>
            </w:pPr>
          </w:p>
        </w:tc>
        <w:tc>
          <w:tcPr>
            <w:tcW w:w="6040" w:type="dxa"/>
            <w:vAlign w:val="bottom"/>
            <w:tcBorders>
              <w:bottom w:val="single" w:sz="8" w:color="auto"/>
            </w:tcBorders>
          </w:tcPr>
          <w:p>
            <w:pPr>
              <w:jc w:val="center"/>
              <w:ind w:right="3150"/>
              <w:spacing w:after="0"/>
              <w:rPr>
                <w:sz w:val="20"/>
                <w:szCs w:val="20"/>
                <w:color w:val="auto"/>
              </w:rPr>
            </w:pPr>
            <w:r>
              <w:rPr>
                <w:rFonts w:ascii="Times New Roman" w:cs="Times New Roman" w:eastAsia="Times New Roman" w:hAnsi="Times New Roman"/>
                <w:sz w:val="18"/>
                <w:szCs w:val="18"/>
                <w:color w:val="auto"/>
                <w:w w:val="95"/>
              </w:rPr>
              <w:t>F-1</w:t>
            </w: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680" w:type="dxa"/>
            <w:vAlign w:val="bottom"/>
          </w:tcPr>
          <w:p>
            <w:pPr>
              <w:spacing w:after="0"/>
              <w:rPr>
                <w:sz w:val="20"/>
                <w:szCs w:val="20"/>
                <w:color w:val="auto"/>
              </w:rPr>
            </w:pPr>
          </w:p>
        </w:tc>
        <w:tc>
          <w:tcPr>
            <w:tcW w:w="36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80" w:type="dxa"/>
            <w:vAlign w:val="bottom"/>
            <w:gridSpan w:val="2"/>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12,383</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18,916</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13,703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15,721</w:t>
            </w: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net</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1,572</w:t>
            </w:r>
          </w:p>
        </w:tc>
      </w:tr>
      <w:tr>
        <w:trPr>
          <w:trHeight w:val="216"/>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1,060</w:t>
            </w:r>
          </w:p>
        </w:tc>
      </w:tr>
      <w:tr>
        <w:trPr>
          <w:trHeight w:val="229"/>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2,822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2,570</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32,144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40,521</w:t>
            </w:r>
          </w:p>
        </w:tc>
      </w:tr>
      <w:tr>
        <w:trPr>
          <w:trHeight w:val="210"/>
        </w:trPr>
        <w:tc>
          <w:tcPr>
            <w:tcW w:w="46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 term deposit</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2,371</w:t>
            </w: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2,360</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Fund in respect of employee rights upon retirement</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1,129</w:t>
            </w: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300" w:type="dxa"/>
            <w:vAlign w:val="bottom"/>
          </w:tcPr>
          <w:p>
            <w:pPr>
              <w:spacing w:after="0"/>
              <w:rPr>
                <w:sz w:val="18"/>
                <w:szCs w:val="18"/>
                <w:color w:val="auto"/>
              </w:rPr>
            </w:pPr>
          </w:p>
        </w:tc>
        <w:tc>
          <w:tcPr>
            <w:tcW w:w="1380" w:type="dxa"/>
            <w:vAlign w:val="bottom"/>
            <w:tcBorders>
              <w:bottom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46,807</w:t>
            </w:r>
          </w:p>
        </w:tc>
        <w:tc>
          <w:tcPr>
            <w:tcW w:w="100" w:type="dxa"/>
            <w:vAlign w:val="bottom"/>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6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2"/>
          </w:tcPr>
          <w:p>
            <w:pPr>
              <w:jc w:val="right"/>
              <w:ind w:right="2530"/>
              <w:spacing w:after="0"/>
              <w:rPr>
                <w:sz w:val="20"/>
                <w:szCs w:val="20"/>
                <w:color w:val="auto"/>
              </w:rPr>
            </w:pPr>
            <w:r>
              <w:rPr>
                <w:rFonts w:ascii="Times New Roman" w:cs="Times New Roman" w:eastAsia="Times New Roman" w:hAnsi="Times New Roman"/>
                <w:sz w:val="18"/>
                <w:szCs w:val="18"/>
                <w:color w:val="auto"/>
              </w:rPr>
              <w:t>F-2</w:t>
            </w: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8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5,640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net of current maturities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1,639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for employee rights upon retirement and others</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1,321</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2,960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3,043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10,327</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10,721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CONTINGENT LIABILITIES</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150,000,000 shares authorized at March 31,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 and December 31, 2024; 29,752,661 and 26,611,033 shares issued and outstanding at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31, 2025 and December 31, 2024, respectively</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8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C shares, par value $0.0001 per share; 1,172,000 shares authorized at March 31,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 and December 31, 2024; 1,718 shares issued and outstanding at March 31, 2025 and</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293,014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289,589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(264,672)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(253,506)</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28,345</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38,672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Represents an amount less than $1 thousand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1041"/>
              <w:spacing w:after="0"/>
              <w:rPr>
                <w:sz w:val="20"/>
                <w:szCs w:val="20"/>
                <w:color w:val="auto"/>
              </w:rPr>
            </w:pPr>
            <w:r>
              <w:rPr>
                <w:rFonts w:ascii="Times New Roman" w:cs="Times New Roman" w:eastAsia="Times New Roman" w:hAnsi="Times New Roman"/>
                <w:sz w:val="18"/>
                <w:szCs w:val="18"/>
                <w:b w:val="1"/>
                <w:bCs w:val="1"/>
                <w:color w:val="auto"/>
              </w:rPr>
              <w:t>3 Months Ended March 31,</w:t>
            </w:r>
          </w:p>
        </w:tc>
      </w:tr>
      <w:tr>
        <w:trPr>
          <w:trHeight w:val="223"/>
        </w:trPr>
        <w:tc>
          <w:tcPr>
            <w:tcW w:w="6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09"/>
        </w:trPr>
        <w:tc>
          <w:tcPr>
            <w:tcW w:w="6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1,529</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1,511</w:t>
            </w:r>
          </w:p>
        </w:tc>
      </w:tr>
      <w:tr>
        <w:trPr>
          <w:trHeight w:val="230"/>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1,237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1,219</w:t>
            </w:r>
          </w:p>
        </w:tc>
      </w:tr>
      <w:tr>
        <w:trPr>
          <w:trHeight w:val="209"/>
        </w:trPr>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5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4,059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2,625</w:t>
            </w:r>
          </w:p>
        </w:tc>
      </w:tr>
      <w:tr>
        <w:trPr>
          <w:trHeight w:val="216"/>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2,750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1,237</w:t>
            </w:r>
          </w:p>
        </w:tc>
      </w:tr>
      <w:tr>
        <w:trPr>
          <w:trHeight w:val="229"/>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4,943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3,844</w:t>
            </w:r>
          </w:p>
        </w:tc>
      </w:tr>
      <w:tr>
        <w:trPr>
          <w:trHeight w:val="209"/>
        </w:trPr>
        <w:tc>
          <w:tcPr>
            <w:tcW w:w="6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100" w:type="dxa"/>
            <w:vAlign w:val="bottom"/>
            <w:tcBorders>
              <w:bottom w:val="single" w:sz="8" w:color="CCEEFF"/>
            </w:tcBorders>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INCOME, net</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382</w:t>
            </w:r>
          </w:p>
        </w:tc>
      </w:tr>
      <w:tr>
        <w:trPr>
          <w:trHeight w:val="229"/>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(11,166)</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w:t>
            </w:r>
          </w:p>
        </w:tc>
      </w:tr>
      <w:tr>
        <w:trPr>
          <w:trHeight w:val="263"/>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58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47"/>
        </w:trPr>
        <w:tc>
          <w:tcPr>
            <w:tcW w:w="640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7"/>
                <w:szCs w:val="17"/>
                <w:b w:val="1"/>
                <w:bCs w:val="1"/>
                <w:color w:val="auto"/>
              </w:rPr>
              <w:t>WEIGHTED AVERAGE NUMBER OF ORDINARY SHARES USED IN</w:t>
            </w: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265"/>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COMPUTING NET LOSS PER SHARE - basic and diluted</w:t>
            </w:r>
          </w:p>
        </w:tc>
        <w:tc>
          <w:tcPr>
            <w:tcW w:w="5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49,993,509</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34,242,976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EQUITY</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tbl>
      <w:tblPr>
        <w:tblLayout w:type="fixed"/>
        <w:tblInd w:w="338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52"/>
        </w:trPr>
        <w:tc>
          <w:tcPr>
            <w:tcW w:w="234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18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Preferred C shares</w:t>
            </w: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23"/>
        </w:trPr>
        <w:tc>
          <w:tcPr>
            <w:tcW w:w="92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20" w:type="dxa"/>
            <w:vAlign w:val="bottom"/>
            <w:tcBorders>
              <w:top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20" w:type="dxa"/>
            <w:vAlign w:val="bottom"/>
            <w:tcBorders>
              <w:top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40" w:type="dxa"/>
            <w:vAlign w:val="bottom"/>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32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320" w:type="dxa"/>
            <w:vAlign w:val="bottom"/>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r>
    </w:tbl>
    <w:p>
      <w:pPr>
        <w:spacing w:after="0" w:line="194" w:lineRule="exact"/>
        <w:rPr>
          <w:sz w:val="20"/>
          <w:szCs w:val="20"/>
          <w:color w:val="auto"/>
        </w:rPr>
      </w:pPr>
    </w:p>
    <w:p>
      <w:pPr>
        <w:sectPr>
          <w:pgSz w:w="11900" w:h="16838" w:orient="portrait"/>
          <w:cols w:equalWidth="0" w:num="1">
            <w:col w:w="11200"/>
          </w:cols>
          <w:pgMar w:left="320" w:top="684" w:right="37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Share-based compensation related to</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restricted stock, restricted stock units</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and stock options award, net of</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forfeitures of 75,090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21,841,215</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1,718</w:t>
            </w:r>
          </w:p>
        </w:tc>
        <w:tc>
          <w:tcPr>
            <w:tcW w:w="110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261,000</w:t>
            </w: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(221,501)</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39,501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(7,032)</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(7,032)</w:t>
            </w:r>
          </w:p>
        </w:tc>
        <w:tc>
          <w:tcPr>
            <w:tcW w:w="0" w:type="dxa"/>
            <w:vAlign w:val="bottom"/>
          </w:tcPr>
          <w:p>
            <w:pPr>
              <w:spacing w:after="0"/>
              <w:rPr>
                <w:sz w:val="1"/>
                <w:szCs w:val="1"/>
                <w:color w:val="auto"/>
              </w:rPr>
            </w:pPr>
          </w:p>
        </w:tc>
      </w:tr>
      <w:tr>
        <w:trPr>
          <w:trHeight w:val="878"/>
        </w:trPr>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1,571,170</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2,618</w:t>
            </w:r>
          </w:p>
        </w:tc>
        <w:tc>
          <w:tcPr>
            <w:tcW w:w="1020" w:type="dxa"/>
            <w:vAlign w:val="bottom"/>
          </w:tcPr>
          <w:p>
            <w:pPr>
              <w:spacing w:after="0"/>
              <w:rPr>
                <w:sz w:val="24"/>
                <w:szCs w:val="24"/>
                <w:color w:val="auto"/>
              </w:rPr>
            </w:pPr>
          </w:p>
        </w:tc>
        <w:tc>
          <w:tcPr>
            <w:tcW w:w="320" w:type="dxa"/>
            <w:vAlign w:val="bottom"/>
            <w:vMerge w:val="restart"/>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23,412,385</w:t>
            </w: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1,718</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263,618</w:t>
            </w:r>
          </w:p>
        </w:tc>
        <w:tc>
          <w:tcPr>
            <w:tcW w:w="3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(228,533</w:t>
            </w:r>
          </w:p>
        </w:tc>
        <w:tc>
          <w:tcPr>
            <w:tcW w:w="320" w:type="dxa"/>
            <w:vAlign w:val="bottom"/>
            <w:vMerge w:val="continue"/>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35,087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-1148080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-873760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-179070</wp:posOffset>
            </wp:positionV>
            <wp:extent cx="713232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060" w:space="320"/>
            <w:col w:w="7820"/>
          </w:cols>
          <w:pgMar w:left="320" w:top="684" w:right="379" w:bottom="1440" w:gutter="0" w:footer="0" w:header="0"/>
          <w:type w:val="continuous"/>
        </w:sectPr>
      </w:pPr>
    </w:p>
    <w:p>
      <w:pPr>
        <w:ind w:left="340" w:hanging="215"/>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Represents an amount less than $1 thousand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2"/>
        </w:trPr>
        <w:tc>
          <w:tcPr>
            <w:tcW w:w="3380" w:type="dxa"/>
            <w:vAlign w:val="bottom"/>
          </w:tcPr>
          <w:p>
            <w:pPr>
              <w:spacing w:after="0"/>
              <w:rPr>
                <w:sz w:val="21"/>
                <w:szCs w:val="21"/>
                <w:color w:val="auto"/>
              </w:rPr>
            </w:pPr>
          </w:p>
        </w:tc>
        <w:tc>
          <w:tcPr>
            <w:tcW w:w="234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18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Preferred C shares</w:t>
            </w: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380" w:type="dxa"/>
            <w:vAlign w:val="bottom"/>
          </w:tcPr>
          <w:p>
            <w:pPr>
              <w:spacing w:after="0"/>
              <w:rPr>
                <w:sz w:val="19"/>
                <w:szCs w:val="19"/>
                <w:color w:val="auto"/>
              </w:rPr>
            </w:pPr>
          </w:p>
        </w:tc>
        <w:tc>
          <w:tcPr>
            <w:tcW w:w="124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Pr>
          <w:p>
            <w:pPr>
              <w:spacing w:after="0"/>
              <w:rPr>
                <w:sz w:val="19"/>
                <w:szCs w:val="19"/>
                <w:color w:val="auto"/>
              </w:rPr>
            </w:pPr>
          </w:p>
        </w:tc>
        <w:tc>
          <w:tcPr>
            <w:tcW w:w="10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4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34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09"/>
        </w:trPr>
        <w:tc>
          <w:tcPr>
            <w:tcW w:w="33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26,611,033</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1,718</w:t>
            </w:r>
          </w:p>
        </w:tc>
        <w:tc>
          <w:tcPr>
            <w:tcW w:w="1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289,589</w:t>
            </w:r>
          </w:p>
        </w:tc>
        <w:tc>
          <w:tcPr>
            <w:tcW w:w="13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(253,506)</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36,086</w:t>
            </w:r>
          </w:p>
        </w:tc>
        <w:tc>
          <w:tcPr>
            <w:tcW w:w="80" w:type="dxa"/>
            <w:vAlign w:val="bottom"/>
            <w:shd w:val="clear" w:color="auto" w:fill="CCEEFF"/>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(11,166)</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(11,166)</w:t>
            </w: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Exercise of pre-funded warrants</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643,860</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194"/>
        </w:trPr>
        <w:tc>
          <w:tcPr>
            <w:tcW w:w="33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Issuance of common stock, included at</w:t>
            </w: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the market offering net of $22 issuance</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273,621</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696</w:t>
            </w: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696</w:t>
            </w:r>
          </w:p>
        </w:tc>
        <w:tc>
          <w:tcPr>
            <w:tcW w:w="80" w:type="dxa"/>
            <w:vAlign w:val="bottom"/>
          </w:tcPr>
          <w:p>
            <w:pPr>
              <w:spacing w:after="0"/>
              <w:rPr>
                <w:sz w:val="20"/>
                <w:szCs w:val="20"/>
                <w:color w:val="auto"/>
              </w:rPr>
            </w:pPr>
          </w:p>
        </w:tc>
      </w:tr>
      <w:tr>
        <w:trPr>
          <w:trHeight w:val="194"/>
        </w:trPr>
        <w:tc>
          <w:tcPr>
            <w:tcW w:w="338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Share-based compensation related to</w:t>
            </w: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restricted stock, restricted stock units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and stock options award, net of</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2"/>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forfeitures of 29,295 shares</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2,224,147</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2,729</w:t>
            </w:r>
          </w:p>
        </w:tc>
        <w:tc>
          <w:tcPr>
            <w:tcW w:w="10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2,729</w:t>
            </w:r>
          </w:p>
        </w:tc>
        <w:tc>
          <w:tcPr>
            <w:tcW w:w="80" w:type="dxa"/>
            <w:vAlign w:val="bottom"/>
            <w:shd w:val="clear" w:color="auto" w:fill="CCEEFF"/>
          </w:tcPr>
          <w:p>
            <w:pPr>
              <w:spacing w:after="0"/>
              <w:rPr>
                <w:sz w:val="21"/>
                <w:szCs w:val="21"/>
                <w:color w:val="auto"/>
              </w:rPr>
            </w:pPr>
          </w:p>
        </w:tc>
      </w:tr>
      <w:tr>
        <w:trPr>
          <w:trHeight w:val="223"/>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29,752,661</w:t>
            </w: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1,718</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293,014</w:t>
            </w:r>
          </w:p>
        </w:tc>
        <w:tc>
          <w:tcPr>
            <w:tcW w:w="3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(264,672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215"/>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Represents an amount less than $1 thousand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(11,166)</w:t>
            </w:r>
          </w:p>
        </w:tc>
        <w:tc>
          <w:tcPr>
            <w:tcW w:w="8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required to reconcile net loss to net cash used in operating activities: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markable securities, net of interest received</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liability for employees rights upon retirement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financial expenses (income)</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operating right of use asset and operating leasing liability</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2,729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2,618</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amounts funded in respect of employee rights upon retirement, net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 and liability items: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Decrease in prepaid expenses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Decrease (Increase) in trade receivables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16"/>
        </w:trPr>
        <w:tc>
          <w:tcPr>
            <w:tcW w:w="6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Decrease in other receivables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Increase in inventory</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6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Increase (decrease) in trade payables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Decrease in other payables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(6,909)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matured marketable securities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funded in respect of employee rights upon retirement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2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shares, net of $22 issuance costs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DECREASE IN CASH AND CASH EQUIVALENTS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8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OF CASH AND CASH EQUIVALENTS AT BEGINNING OF THE</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18,916</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9,640</w:t>
            </w:r>
          </w:p>
        </w:tc>
        <w:tc>
          <w:tcPr>
            <w:tcW w:w="0" w:type="dxa"/>
            <w:vAlign w:val="bottom"/>
          </w:tcPr>
          <w:p>
            <w:pPr>
              <w:spacing w:after="0"/>
              <w:rPr>
                <w:sz w:val="1"/>
                <w:szCs w:val="1"/>
                <w:color w:val="auto"/>
              </w:rPr>
            </w:pPr>
          </w:p>
        </w:tc>
      </w:tr>
      <w:tr>
        <w:trPr>
          <w:trHeight w:val="223"/>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OF CASH AND CASH EQUIVALENTS AT END OF THE PERIOD</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 NON-CASH INVESTING AND FINANCING ACTIVITIES:</w:t>
            </w: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on account of share issuance</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Non-cash purchase of property and equipment</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NOTES TO THE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22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InspireMD, Inc., a Delaware corporation (the “Company”), together with its subsidiaries, is a medical device company focusing on the development and commercialization of its proprietary MicroNet™ stent platform technology for the treatment of complex vascular and coronary disease. MicroNet, a micron mesh sleeve, is wrapped over a stent to provide embolic protection in stenting procedures.</w:t>
      </w:r>
    </w:p>
    <w:p>
      <w:pPr>
        <w:spacing w:after="0" w:line="175"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carotid product (CGuard™ EPS) combines MicroNet and a self-expandable nitinol stent in a single device to treat carotid artery disease.</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markets its product through distributors in international markets, mainly in Europe and is seeking FDA approval for its CGuard Prime carotid stent system to enter the U.S. market.</w:t>
      </w:r>
    </w:p>
    <w:p>
      <w:pPr>
        <w:spacing w:after="0" w:line="158"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Liquidity</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has an accumulated deficit as of March 31, 2025, as well as a history of net losses and negative operating cash flows. The Company expects to continue incurring losses and negative cash flows from operations until its product, CGuard™ EPS, reaches commercial profitability. As a result of these expected losses and negative cash flows from operations, along with the Company’s current cash position, the Company does not have sufficient resources to fund operations for at least the next 12 months. Therefore, there is substantial doubt about the Company’s ability to continue as a going concern. These condensed consolidated financial statements have been prepared assuming that the Company will continue as a going concern and do not include any adjustments that might result from the outcome of this uncertainty.</w:t>
      </w:r>
    </w:p>
    <w:p>
      <w:pPr>
        <w:spacing w:after="0" w:line="187"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Management’s plans include the continued commercialization of the Company’s product and raising capital through the sale of additional equity securities, debt or capital inflows from strategic partnerships and exercises of warrants. There are no assurances however, that the Company will be successful in obtaining the level of financing needed for its operations. If the Company is unsuccessful in commercializing its products and raising capital, it may need to reduce activities, curtail or cease operations.</w:t>
      </w:r>
    </w:p>
    <w:p>
      <w:pPr>
        <w:spacing w:after="0" w:line="176"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Risks Related to the Company’s Operations in Israel</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October 2023, Israel was attacked by a terrorist organization and entered a state of war on several fronts. As of the date of these consolidated financial statements, sustained conflict in the region is ongoing and Israel has entered into certain ceasefires, the results of which are uncertain. The Company operations, including its current production facility, are located in Israel. Currently, such activities in Israel remain largely unaffected.</w:t>
      </w:r>
    </w:p>
    <w:p>
      <w:pPr>
        <w:spacing w:after="0" w:line="17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three months ended March 31, 2025 and 2024, the impact of this war on the Company’s results of operations and financial condition was immaterial, but such impact may increase, which could be material, as a result of the continuation, escalation or expansion of such war.</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Risks Related to the Geopolitical and Military Tensions Between Russia and Ukraine in Europe</w:t>
      </w:r>
    </w:p>
    <w:p>
      <w:pPr>
        <w:spacing w:after="0" w:line="229"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escalation of geopolitical instability in Russia and Ukraine as well as currency fluctuations in the Russian Ruble has immaterial impact on the Company’s operations, sales, and future growth prospects in that region as for three months ended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on the same basis as the annual consolidated financial statements. In the opinion of the Company, the financial statements reflect all adjustments, which include only normal recurring adjustments, necessary for a fair statement of its financial position as of March 31, 2025 and its results of operations, changes in equity and cash flows for the three months ended March 31, 2025 and 2024. These condensed consolidated financial statements and notes thereto are unaudited and should be read in conjunction with the Company’s audited financial statements for the year ended December 31, 2024, as found in the Company’s Annual Report on Form 10-K, filed with the Securities and Exchange Commission on March 12, 2025. The results of operations for the three months ended March 31, 2025 are not necessarily indicative of results that could be expected for the entire fiscal year.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3 - RECENTLY ADOPTED AND ISSUED ACCOUNTING PRONOUNCEMENTS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 not yet adopted</w:t>
      </w:r>
    </w:p>
    <w:p>
      <w:pPr>
        <w:spacing w:after="0" w:line="229" w:lineRule="exact"/>
        <w:rPr>
          <w:sz w:val="20"/>
          <w:szCs w:val="20"/>
          <w:color w:val="auto"/>
        </w:rPr>
      </w:pPr>
    </w:p>
    <w:p>
      <w:pPr>
        <w:jc w:val="both"/>
        <w:ind w:left="1960" w:hanging="332"/>
        <w:spacing w:after="0" w:line="255" w:lineRule="auto"/>
        <w:tabs>
          <w:tab w:leader="none" w:pos="1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“Income Taxes (Topic 740): Improvements to Income Tax Disclosures”. This guidance is intended to enhance the transparency and decision-usefulness of income tax disclosures. The amendments in ASU 2023-09 address investor requests for enhanced income tax information primarily through changes to disclosure regarding rate reconciliation and income taxes paid both in the U.S. and in foreign jurisdictions. ASU 2023-09 is effective for fiscal years beginning after December 15, 2024 on a prospective basis, with the option to apply the standard retrospectively. Early adoption is permitted. The Company is currently evaluating this guidance to determine the impact it may have on its consolidated financial statements and disclosures.</w:t>
      </w:r>
    </w:p>
    <w:p>
      <w:pPr>
        <w:spacing w:after="0" w:line="188" w:lineRule="exact"/>
        <w:rPr>
          <w:rFonts w:ascii="Times New Roman" w:cs="Times New Roman" w:eastAsia="Times New Roman" w:hAnsi="Times New Roman"/>
          <w:sz w:val="18"/>
          <w:szCs w:val="18"/>
          <w:color w:val="auto"/>
        </w:rPr>
      </w:pPr>
    </w:p>
    <w:p>
      <w:pPr>
        <w:jc w:val="both"/>
        <w:ind w:left="1960" w:hanging="332"/>
        <w:spacing w:after="0" w:line="254" w:lineRule="auto"/>
        <w:tabs>
          <w:tab w:leader="none" w:pos="1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The ASU improves the disclosures about a public business entity’s expenses and provides more detailed information about the types of expenses in commonly presented expense captions. The amendments require that at each interim and annual reporting period an entity will, inter alia, disclose amounts of purchases of inventory, employee compensation, depreciation and amortization included in each relevant expense caption (such as cost of sales, G&amp;A, S&amp;M and research and development) as well as disclosures about selling expenses. The ASU is effective for fiscal years beginning after December 15, 2026, and interim periods within fiscal years beginning after December 15, 2027. Early adoption is permitted. The Company is currently evaluating this ASU to determine its impact on the Company’s financial statements and disclosures.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4 – FAIR VALUE MEASUREMENTS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Fair value is based on the price that would be received from the sale of an asset or that would be paid to transfer a liability in an orderly transaction between market participants at the measurement date. In order to increase consistency and comparability in fair value measurements, the guidance establishes a fair value hierarchy that prioritizes observable and unobservable inputs used to measure fair value into three broad levels, which are described as follows:</w:t>
      </w:r>
    </w:p>
    <w:p>
      <w:pPr>
        <w:spacing w:after="0" w:line="180"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 The fair value hierarchy gives the highest priority to Level 1 inputs.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Level 2: Observable prices that are based on inputs not quoted on active markets but corroborated by market data.</w:t>
      </w:r>
    </w:p>
    <w:p>
      <w:pPr>
        <w:spacing w:after="0" w:line="225"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Level 3: Unobservable inputs are used when little or no market data is available. The fair value hierarchy gives the lowest priority to Level 3 inputs.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spacing w:after="0" w:line="282" w:lineRule="auto"/>
        <w:rPr>
          <w:sz w:val="20"/>
          <w:szCs w:val="20"/>
          <w:color w:val="auto"/>
        </w:rPr>
      </w:pPr>
      <w:r>
        <w:rPr>
          <w:rFonts w:ascii="Times New Roman" w:cs="Times New Roman" w:eastAsia="Times New Roman" w:hAnsi="Times New Roman"/>
          <w:sz w:val="18"/>
          <w:szCs w:val="18"/>
          <w:color w:val="auto"/>
        </w:rPr>
        <w:t>The Company’s financial assets subject to fair value measurements on a recurring basis and the level of inputs used in such measurements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4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gridSpan w:val="2"/>
          </w:tcPr>
          <w:p>
            <w:pPr>
              <w:spacing w:after="0"/>
              <w:rPr>
                <w:sz w:val="19"/>
                <w:szCs w:val="19"/>
                <w:color w:val="auto"/>
              </w:rPr>
            </w:pPr>
          </w:p>
        </w:tc>
      </w:tr>
      <w:tr>
        <w:trPr>
          <w:trHeight w:val="210"/>
        </w:trPr>
        <w:tc>
          <w:tcPr>
            <w:tcW w:w="40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5,409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5,409</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6"/>
        </w:trPr>
        <w:tc>
          <w:tcPr>
            <w:tcW w:w="4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bonds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13,703</w:t>
            </w:r>
          </w:p>
        </w:tc>
        <w:tc>
          <w:tcPr>
            <w:tcW w:w="18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13,703</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0"/>
        </w:trPr>
        <w:tc>
          <w:tcPr>
            <w:tcW w:w="4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4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9"/>
                <w:szCs w:val="19"/>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gridSpan w:val="2"/>
          </w:tcPr>
          <w:p>
            <w:pPr>
              <w:spacing w:after="0"/>
              <w:rPr>
                <w:sz w:val="19"/>
                <w:szCs w:val="19"/>
                <w:color w:val="auto"/>
              </w:rPr>
            </w:pPr>
          </w:p>
        </w:tc>
      </w:tr>
      <w:tr>
        <w:trPr>
          <w:trHeight w:val="209"/>
        </w:trPr>
        <w:tc>
          <w:tcPr>
            <w:tcW w:w="40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6,281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6,281</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4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bonds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15,721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15,721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0"/>
        </w:trPr>
        <w:tc>
          <w:tcPr>
            <w:tcW w:w="4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cash equivalents and marketable securities are classified within Level 1 and Level 2 because it uses quoted market prices or alternative pricing sources and models utilizing market observable inputs to determine their fair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of marketable securities as of March 31, 2025 and December 31,2024 is $13,460 and $15,277 thousand, respectively.</w:t>
      </w:r>
    </w:p>
    <w:p>
      <w:pPr>
        <w:spacing w:after="0" w:line="22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5 - MARKETABLE SECURITIES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all of the Company’s marketable securities had contractual maturities of less than one year. The fair value of these securities was $13.7 million and $15.7 million as of March 31, 2025 and December 31, 2024,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a summary of the changes in the fair value of the Company’s marketable securities for the three-month period ended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March 31, 2025 and 2024:</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5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09"/>
        </w:trPr>
        <w:tc>
          <w:tcPr>
            <w:tcW w:w="58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3960" w:type="dxa"/>
            <w:vAlign w:val="bottom"/>
            <w:tcBorders>
              <w:top w:val="single" w:sz="8" w:color="auto"/>
              <w:bottom w:val="single" w:sz="8" w:color="auto"/>
            </w:tcBorders>
            <w:gridSpan w:val="5"/>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80" w:type="dxa"/>
            <w:vAlign w:val="bottom"/>
            <w:gridSpan w:val="2"/>
          </w:tcPr>
          <w:p>
            <w:pPr>
              <w:spacing w:after="0"/>
              <w:rPr>
                <w:sz w:val="18"/>
                <w:szCs w:val="18"/>
                <w:color w:val="auto"/>
              </w:rPr>
            </w:pPr>
          </w:p>
        </w:tc>
      </w:tr>
      <w:tr>
        <w:trPr>
          <w:trHeight w:val="209"/>
        </w:trPr>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15,721</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29,383</w:t>
            </w:r>
          </w:p>
        </w:tc>
        <w:tc>
          <w:tcPr>
            <w:tcW w:w="6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Pr>
          <w:p>
            <w:pPr>
              <w:spacing w:after="0"/>
              <w:rPr>
                <w:sz w:val="18"/>
                <w:szCs w:val="18"/>
                <w:color w:val="auto"/>
              </w:rPr>
            </w:pPr>
          </w:p>
        </w:tc>
        <w:tc>
          <w:tcPr>
            <w:tcW w:w="2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1,960</w:t>
            </w:r>
          </w:p>
        </w:tc>
        <w:tc>
          <w:tcPr>
            <w:tcW w:w="6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Maturity</w:t>
            </w:r>
          </w:p>
        </w:tc>
        <w:tc>
          <w:tcPr>
            <w:tcW w:w="14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(7,000)</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140" w:type="dxa"/>
            <w:vAlign w:val="bottom"/>
          </w:tcPr>
          <w:p>
            <w:pPr>
              <w:spacing w:after="0"/>
              <w:rPr>
                <w:sz w:val="18"/>
                <w:szCs w:val="18"/>
                <w:color w:val="auto"/>
              </w:rPr>
            </w:pPr>
          </w:p>
        </w:tc>
        <w:tc>
          <w:tcPr>
            <w:tcW w:w="2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during the period</w:t>
            </w:r>
          </w:p>
        </w:tc>
        <w:tc>
          <w:tcPr>
            <w:tcW w:w="14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293</w:t>
            </w:r>
          </w:p>
        </w:tc>
        <w:tc>
          <w:tcPr>
            <w:tcW w:w="60" w:type="dxa"/>
            <w:vAlign w:val="bottom"/>
            <w:shd w:val="clear" w:color="auto" w:fill="CCEEFF"/>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elected the fair value option to measure and recognize its investments in debt securities in accordance with Accounting Standards Codification (“ASC 825”), Financial Instruments as the Company manages its portfolio and evaluates the performance on a fair value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EQUITY:</w:t>
      </w:r>
    </w:p>
    <w:p>
      <w:pPr>
        <w:spacing w:after="0" w:line="229" w:lineRule="exact"/>
        <w:rPr>
          <w:sz w:val="20"/>
          <w:szCs w:val="20"/>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2025, there were 1,718 shares of Series C preferred stock outstanding, convertible into an aggregate of 7,952 shares of the Company’s common stock, with a total stated value of $10,997.</w:t>
      </w:r>
    </w:p>
    <w:p>
      <w:pPr>
        <w:spacing w:after="0" w:line="16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2025, there are 25,503,438 outstanding pre-funded warrants.</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2025, the Company has outstanding warrants to purchase an aggregate of 40,268,464 shares of common stock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Number of</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3760" w:type="dxa"/>
            <w:vAlign w:val="bottom"/>
          </w:tcPr>
          <w:p>
            <w:pPr>
              <w:spacing w:after="0"/>
              <w:rPr>
                <w:sz w:val="18"/>
                <w:szCs w:val="18"/>
                <w:color w:val="auto"/>
              </w:rPr>
            </w:pP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underlying</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34"/>
        </w:trPr>
        <w:tc>
          <w:tcPr>
            <w:tcW w:w="3760" w:type="dxa"/>
            <w:vAlign w:val="bottom"/>
          </w:tcPr>
          <w:p>
            <w:pPr>
              <w:spacing w:after="0"/>
              <w:rPr>
                <w:sz w:val="20"/>
                <w:szCs w:val="20"/>
                <w:color w:val="auto"/>
              </w:rPr>
            </w:pP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Exercise price</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Expiration date</w:t>
            </w: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F Warrants</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433,878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7.4250</w:t>
            </w:r>
          </w:p>
        </w:tc>
        <w:tc>
          <w:tcPr>
            <w:tcW w:w="30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5, 2025-October 16, 2025</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Series G Warrants</w:t>
            </w: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1,092,344</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10.230</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8, 2026</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I Warrants</w:t>
            </w: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12,914,078</w:t>
            </w:r>
          </w:p>
        </w:tc>
        <w:tc>
          <w:tcPr>
            <w:tcW w:w="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1.3827</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Series J Warrants</w:t>
            </w: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12,914,086</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1.3827</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K Warrants</w:t>
            </w: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12,914,078</w:t>
            </w:r>
          </w:p>
        </w:tc>
        <w:tc>
          <w:tcPr>
            <w:tcW w:w="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1.3827</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Total Warrants</w:t>
            </w: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40,268,464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tcPr>
          <w:p>
            <w:pPr>
              <w:spacing w:after="0"/>
              <w:rPr>
                <w:sz w:val="20"/>
                <w:szCs w:val="20"/>
                <w:color w:val="auto"/>
              </w:rPr>
            </w:pPr>
          </w:p>
        </w:tc>
      </w:tr>
    </w:tbl>
    <w:p>
      <w:pPr>
        <w:spacing w:after="0" w:line="179" w:lineRule="exact"/>
        <w:rPr>
          <w:sz w:val="20"/>
          <w:szCs w:val="20"/>
          <w:color w:val="auto"/>
        </w:rPr>
      </w:pPr>
    </w:p>
    <w:p>
      <w:pPr>
        <w:jc w:val="both"/>
        <w:ind w:left="980" w:hanging="324"/>
        <w:spacing w:after="0" w:line="25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I Warrants, Series J Warrants and Series K Warrants have a term of the earlier of (i) May 15, 2028 and (ii) (A) in the case of the Series I Warrants, 20 trading days following the Company’s announcement of receipt of Premarket Approval from the Food and Drug Administration (“FDA”) for the CGuard Prime Carotid Stent System (135 cm), (B) in the case of the Series J Warrants, 20 trading days following the Company’s announcement of receipt of FDA approval for the SwitchGuard and CGuard Prime 80 and (C) in the case on the Series K Warrants, 20 trading days following the end of the fourth fiscal quarter after the fiscal quarter in which the first commercial sales of the CGuard Carotid Stent System in the United States begins.</w:t>
      </w:r>
    </w:p>
    <w:p>
      <w:pPr>
        <w:spacing w:after="0" w:line="18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had 155,000,000 authorized shares of capital stock, par value $0.0001 per share, of which 150,000,000 are shares of common stock and 5,000,000 are shares of “blank check” preferred stock.</w:t>
      </w:r>
    </w:p>
    <w:p>
      <w:pPr>
        <w:spacing w:after="0" w:line="162" w:lineRule="exact"/>
        <w:rPr>
          <w:sz w:val="20"/>
          <w:szCs w:val="20"/>
          <w:color w:val="auto"/>
        </w:rPr>
      </w:pPr>
    </w:p>
    <w:p>
      <w:pPr>
        <w:jc w:val="both"/>
        <w:ind w:left="980" w:hanging="324"/>
        <w:spacing w:after="0" w:line="266" w:lineRule="auto"/>
        <w:tabs>
          <w:tab w:leader="none" w:pos="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three months ended March 31, 2025, the Company granted 2,253,445 restricted shares of the Company’s common stock to employees and directors. The shares to employees are subject to a three-year vesting period, with one-third of such awards vesting each year. The shares to directors are subject to a one-year vesting period.</w:t>
      </w:r>
    </w:p>
    <w:p>
      <w:pPr>
        <w:spacing w:after="0" w:line="175"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 of the above restricted shares was approximately $6.22 million.</w:t>
      </w:r>
    </w:p>
    <w:p>
      <w:pPr>
        <w:spacing w:after="0" w:line="225"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three months ended March 31, 2025, the Company granted 558,417 restricted share units of the Company’s common stock to the chief executive officer. The restricted share units are subject to a three-year vesting period, with one-third of such awards vesting each year.</w:t>
      </w:r>
    </w:p>
    <w:p>
      <w:pPr>
        <w:spacing w:after="0" w:line="161"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 of the above restricted share units was approximately $1.54 million</w:t>
      </w:r>
    </w:p>
    <w:p>
      <w:pPr>
        <w:spacing w:after="0" w:line="225"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three months ended March 31, 2025, the Company granted to employees and directors options to purchase a total of 848,207 shares of the Company’s common stock. The options have an exercise price of $2.76 per share, which was the fair market value of the Company’s common stock on the respective dates of the grant. The options to employees are subject to a three-year vesting period, with one-third of such awards vesting each year. The options to directors are subject to a one-year vesting period.</w:t>
      </w:r>
    </w:p>
    <w:p>
      <w:pPr>
        <w:spacing w:after="0" w:line="179"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calculating the fair value of the above options, the Company used the following assumptions: dividend yield of 0% and expected term of 5.5-6.5 years; expected volatility ranging from 91.27%-92.69%; and risk-free interest rate ranging from 4.57%-4.68%.</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fair value of the above options, using the Black-Scholes option-pricing model, was approximately $1.81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7 – RELATED PARTIES TRANSACTIONS</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a member of the immediate family of the CEO provided certain administrative services in connection with the Company’s expansion to the U.S. in the amount of $24 thousand and $15 thousand,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NET LOSS PER SHARE:</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Basic and diluted net loss per share is computed by dividing the net loss for the period by the weighted average number of shares of common stock, pre-funded warrants and fully vested restricted stock units outstanding during the period. The calculation of diluted net loss per share excludes the effect of potential dilution of share options, warrants, and unvested restricted stocks, unvested restricted stock units and Series C preferred stock as the effect is anti-dilutive.</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total number of shares of common stock related to outstanding options, warrants, unvested restricted stock, unvested restricted stock units and Series C preferred stock, which were excluded from the calculations of diluted loss per share were 52,233,293 and 62,556,668 for the three month period ended March 31, 2025 and 2024. This amount includes 5,671,612 and 4,611,500 of unvested restricted stock included in the number of issued and outstanding shares as of March 31, 2025 and 2024.</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purpose of calculating basic net loss per share, the additional shares of common stock that are issuable upon exercise of the pre-funded warrants have been included since the shares are issuable for a negligible consideration, as determined by the Company according to ASC 260-10-45-13, and have no vesting or other contingencies associated with them.</w:t>
      </w:r>
    </w:p>
    <w:p>
      <w:pPr>
        <w:spacing w:after="0" w:line="176"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the weighted average number of ordinary shares used in computing net loss per share - basic and diluted was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p>
        </w:tc>
        <w:tc>
          <w:tcPr>
            <w:tcW w:w="22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9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09"/>
        </w:trPr>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23,521,534</w:t>
            </w:r>
          </w:p>
        </w:tc>
        <w:tc>
          <w:tcPr>
            <w:tcW w:w="28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18,800,131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Vested restricted stock units</w:t>
            </w:r>
          </w:p>
        </w:tc>
        <w:tc>
          <w:tcPr>
            <w:tcW w:w="2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725,292</w:t>
            </w:r>
          </w:p>
        </w:tc>
        <w:tc>
          <w:tcPr>
            <w:tcW w:w="1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188,222</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Pre-funded Warrants</w:t>
            </w:r>
          </w:p>
        </w:tc>
        <w:tc>
          <w:tcPr>
            <w:tcW w:w="2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25,746,683</w:t>
            </w:r>
          </w:p>
        </w:tc>
        <w:tc>
          <w:tcPr>
            <w:tcW w:w="1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15,254,623</w:t>
            </w:r>
          </w:p>
        </w:tc>
      </w:tr>
      <w:tr>
        <w:trPr>
          <w:trHeight w:val="198"/>
        </w:trPr>
        <w:tc>
          <w:tcPr>
            <w:tcW w:w="5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Weighted average number of ordinary shares used in computing net</w:t>
            </w:r>
          </w:p>
        </w:tc>
        <w:tc>
          <w:tcPr>
            <w:tcW w:w="1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 basic and diluted</w:t>
            </w:r>
          </w:p>
        </w:tc>
        <w:tc>
          <w:tcPr>
            <w:tcW w:w="2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49,993,509</w:t>
            </w:r>
          </w:p>
        </w:tc>
        <w:tc>
          <w:tcPr>
            <w:tcW w:w="1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34,242,976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FINANCIAL INSTRUMENTS:</w:t>
      </w:r>
    </w:p>
    <w:p>
      <w:pPr>
        <w:spacing w:after="0" w:line="225"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29" w:lineRule="exact"/>
        <w:rPr>
          <w:sz w:val="20"/>
          <w:szCs w:val="20"/>
          <w:color w:val="auto"/>
        </w:rPr>
      </w:pPr>
    </w:p>
    <w:p>
      <w:pPr>
        <w:ind w:left="1040"/>
        <w:spacing w:after="0" w:line="282" w:lineRule="auto"/>
        <w:rPr>
          <w:sz w:val="20"/>
          <w:szCs w:val="20"/>
          <w:color w:val="auto"/>
        </w:rPr>
      </w:pPr>
      <w:r>
        <w:rPr>
          <w:rFonts w:ascii="Times New Roman" w:cs="Times New Roman" w:eastAsia="Times New Roman" w:hAnsi="Times New Roman"/>
          <w:sz w:val="18"/>
          <w:szCs w:val="18"/>
          <w:color w:val="auto"/>
        </w:rPr>
        <w:t>The carrying amounts of financial instruments approximate their fair value either because these amounts are presented at fair value, due to the relatively short-term maturities of certain instruments or they are measured using interest rates close to prevailing market rates.</w:t>
      </w:r>
    </w:p>
    <w:p>
      <w:pPr>
        <w:spacing w:after="0" w:line="162"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2025, and December 31, 2024, allowance for expected credit loss was immaterial.</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10 - INVENTORY:</w:t>
            </w:r>
          </w:p>
        </w:tc>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45"/>
        </w:trPr>
        <w:tc>
          <w:tcPr>
            <w:tcW w:w="6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600" w:type="dxa"/>
            <w:vAlign w:val="bottom"/>
          </w:tcPr>
          <w:p>
            <w:pPr>
              <w:spacing w:after="0"/>
              <w:rPr>
                <w:sz w:val="24"/>
                <w:szCs w:val="24"/>
                <w:color w:val="auto"/>
              </w:rPr>
            </w:pPr>
          </w:p>
        </w:tc>
      </w:tr>
      <w:tr>
        <w:trPr>
          <w:trHeight w:val="210"/>
        </w:trPr>
        <w:tc>
          <w:tcPr>
            <w:tcW w:w="660" w:type="dxa"/>
            <w:vAlign w:val="bottom"/>
          </w:tcPr>
          <w:p>
            <w:pPr>
              <w:spacing w:after="0"/>
              <w:rPr>
                <w:sz w:val="18"/>
                <w:szCs w:val="18"/>
                <w:color w:val="auto"/>
              </w:rPr>
            </w:pPr>
          </w:p>
        </w:tc>
        <w:tc>
          <w:tcPr>
            <w:tcW w:w="3380" w:type="dxa"/>
            <w:vAlign w:val="bottom"/>
            <w:tcBorders>
              <w:bottom w:val="single" w:sz="8" w:color="CCEEFF"/>
            </w:tcBorders>
          </w:tcPr>
          <w:p>
            <w:pPr>
              <w:spacing w:after="0"/>
              <w:rPr>
                <w:sz w:val="18"/>
                <w:szCs w:val="18"/>
                <w:color w:val="auto"/>
              </w:rPr>
            </w:pPr>
          </w:p>
        </w:tc>
        <w:tc>
          <w:tcPr>
            <w:tcW w:w="24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880" w:type="dxa"/>
            <w:vAlign w:val="bottom"/>
            <w:tcBorders>
              <w:top w:val="single" w:sz="8" w:color="auto"/>
              <w:bottom w:val="single" w:sz="8" w:color="auto"/>
            </w:tcBorders>
            <w:gridSpan w:val="5"/>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80" w:type="dxa"/>
            <w:vAlign w:val="bottom"/>
            <w:tcBorders>
              <w:bottom w:val="single" w:sz="8" w:color="CCEEFF"/>
            </w:tcBorders>
          </w:tcPr>
          <w:p>
            <w:pPr>
              <w:spacing w:after="0"/>
              <w:rPr>
                <w:sz w:val="18"/>
                <w:szCs w:val="18"/>
                <w:color w:val="auto"/>
              </w:rPr>
            </w:pPr>
          </w:p>
        </w:tc>
        <w:tc>
          <w:tcPr>
            <w:tcW w:w="60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638</w:t>
            </w:r>
          </w:p>
        </w:tc>
        <w:tc>
          <w:tcPr>
            <w:tcW w:w="60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2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1,945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1,914</w:t>
            </w:r>
          </w:p>
        </w:tc>
        <w:tc>
          <w:tcPr>
            <w:tcW w:w="60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13"/>
        </w:trPr>
        <w:tc>
          <w:tcPr>
            <w:tcW w:w="6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F-12</w:t>
            </w:r>
          </w:p>
        </w:tc>
        <w:tc>
          <w:tcPr>
            <w:tcW w:w="1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11 - ACCOUNTS PAYABLE AND ACCRUALS - OTHER:</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6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660" w:type="dxa"/>
            <w:vAlign w:val="bottom"/>
          </w:tcPr>
          <w:p>
            <w:pPr>
              <w:spacing w:after="0"/>
              <w:rPr>
                <w:sz w:val="18"/>
                <w:szCs w:val="18"/>
                <w:color w:val="auto"/>
              </w:rPr>
            </w:pPr>
          </w:p>
        </w:tc>
        <w:tc>
          <w:tcPr>
            <w:tcW w:w="58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880" w:type="dxa"/>
            <w:vAlign w:val="bottom"/>
            <w:tcBorders>
              <w:top w:val="single" w:sz="8" w:color="auto"/>
              <w:bottom w:val="single" w:sz="8" w:color="auto"/>
            </w:tcBorders>
            <w:gridSpan w:val="5"/>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80" w:type="dxa"/>
            <w:vAlign w:val="bottom"/>
            <w:tcBorders>
              <w:bottom w:val="single" w:sz="8" w:color="CCEEFF"/>
            </w:tcBorders>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 and employee institutions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2,493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Accrued vacation and recreation pay</w:t>
            </w:r>
          </w:p>
        </w:tc>
        <w:tc>
          <w:tcPr>
            <w:tcW w:w="22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369</w:t>
            </w:r>
          </w:p>
        </w:tc>
      </w:tr>
      <w:tr>
        <w:trPr>
          <w:trHeight w:val="216"/>
        </w:trPr>
        <w:tc>
          <w:tcPr>
            <w:tcW w:w="66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1,325</w:t>
            </w:r>
          </w:p>
        </w:tc>
      </w:tr>
      <w:tr>
        <w:trPr>
          <w:trHeight w:val="216"/>
        </w:trPr>
        <w:tc>
          <w:tcPr>
            <w:tcW w:w="66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 accrual</w:t>
            </w:r>
          </w:p>
        </w:tc>
        <w:tc>
          <w:tcPr>
            <w:tcW w:w="22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519</w:t>
            </w:r>
          </w:p>
        </w:tc>
      </w:tr>
      <w:tr>
        <w:trPr>
          <w:trHeight w:val="216"/>
        </w:trPr>
        <w:tc>
          <w:tcPr>
            <w:tcW w:w="66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542</w:t>
            </w:r>
          </w:p>
        </w:tc>
      </w:tr>
      <w:tr>
        <w:trPr>
          <w:trHeight w:val="229"/>
        </w:trPr>
        <w:tc>
          <w:tcPr>
            <w:tcW w:w="66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255</w:t>
            </w:r>
          </w:p>
        </w:tc>
      </w:tr>
      <w:tr>
        <w:trPr>
          <w:trHeight w:val="223"/>
        </w:trPr>
        <w:tc>
          <w:tcPr>
            <w:tcW w:w="660" w:type="dxa"/>
            <w:vAlign w:val="bottom"/>
          </w:tcPr>
          <w:p>
            <w:pPr>
              <w:spacing w:after="0"/>
              <w:rPr>
                <w:sz w:val="19"/>
                <w:szCs w:val="19"/>
                <w:color w:val="auto"/>
              </w:rPr>
            </w:pPr>
          </w:p>
        </w:tc>
        <w:tc>
          <w:tcPr>
            <w:tcW w:w="58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DISAGGREGATED REVENUE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are attributed to geographic areas based on the location of the customers. The following is a summary of revenues: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0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7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Italy</w:t>
            </w: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262</w:t>
            </w:r>
          </w:p>
        </w:tc>
        <w:tc>
          <w:tcPr>
            <w:tcW w:w="136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18"/>
                <w:szCs w:val="18"/>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1280" w:type="dxa"/>
            <w:vAlign w:val="bottom"/>
          </w:tcPr>
          <w:p>
            <w:pPr>
              <w:spacing w:after="0"/>
              <w:rPr>
                <w:sz w:val="18"/>
                <w:szCs w:val="18"/>
                <w:color w:val="auto"/>
              </w:rPr>
            </w:pPr>
          </w:p>
        </w:tc>
        <w:tc>
          <w:tcPr>
            <w:tcW w:w="8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242</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Poland</w:t>
            </w:r>
          </w:p>
        </w:tc>
        <w:tc>
          <w:tcPr>
            <w:tcW w:w="12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226</w:t>
            </w: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w:t>
            </w:r>
          </w:p>
        </w:tc>
      </w:tr>
      <w:tr>
        <w:trPr>
          <w:trHeight w:val="229"/>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Pr>
          <w:p>
            <w:pPr>
              <w:spacing w:after="0"/>
              <w:rPr>
                <w:sz w:val="19"/>
                <w:szCs w:val="19"/>
                <w:color w:val="auto"/>
              </w:rPr>
            </w:pPr>
          </w:p>
        </w:tc>
        <w:tc>
          <w:tcPr>
            <w:tcW w:w="8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799</w:t>
            </w: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822</w:t>
            </w:r>
          </w:p>
        </w:tc>
      </w:tr>
      <w:tr>
        <w:trPr>
          <w:trHeight w:val="223"/>
        </w:trPr>
        <w:tc>
          <w:tcPr>
            <w:tcW w:w="57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Other countries don’t exceed 10% in the three months ended March 31, 2025 and 2024.</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By principal customers:</w:t>
            </w: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57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7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6"/>
              </w:rPr>
              <w:t>16%</w:t>
            </w: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128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2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6"/>
              </w:rPr>
              <w:t>15%</w:t>
            </w: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SEGMENT INFORMATION</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has one operating and reporting segment, that develops, manufactures and markets products for the treatment of carotid artery disease and other vascular disease, including the Company’s proprietary CGuard™ stent platform. The Company’s Chief Operating Decision Maker (“CODM”), who is the CEO evaluates the Company’s performance based on its internal reporting which is consistent with the presentation in the Company’s consolidated financial statements. Accordingly, our CODM uses consolidated net income to measure segment profit or loss, allocate resources, and assess performance.</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CODM examines, within each operational function the employee salaries including the bonus and share based compensation. In addition, the CODM examines the clinical trials expenses within the research and development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ind w:left="75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620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1,529</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Material and Labor</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1,025</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974</w:t>
            </w:r>
          </w:p>
        </w:tc>
        <w:tc>
          <w:tcPr>
            <w:tcW w:w="60" w:type="dxa"/>
            <w:vAlign w:val="bottom"/>
          </w:tcPr>
          <w:p>
            <w:pPr>
              <w:spacing w:after="0"/>
              <w:rPr>
                <w:sz w:val="18"/>
                <w:szCs w:val="18"/>
                <w:color w:val="auto"/>
              </w:rPr>
            </w:pPr>
          </w:p>
        </w:tc>
      </w:tr>
      <w:tr>
        <w:trPr>
          <w:trHeight w:val="216"/>
        </w:trPr>
        <w:tc>
          <w:tcPr>
            <w:tcW w:w="7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cost of revenues</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212</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245</w:t>
            </w:r>
          </w:p>
        </w:tc>
        <w:tc>
          <w:tcPr>
            <w:tcW w:w="60" w:type="dxa"/>
            <w:vAlign w:val="bottom"/>
            <w:shd w:val="clear" w:color="auto" w:fill="CCEEFF"/>
          </w:tcPr>
          <w:p>
            <w:pPr>
              <w:spacing w:after="0"/>
              <w:rPr>
                <w:sz w:val="18"/>
                <w:szCs w:val="18"/>
                <w:color w:val="auto"/>
              </w:rPr>
            </w:pPr>
          </w:p>
        </w:tc>
      </w:tr>
      <w:tr>
        <w:trPr>
          <w:trHeight w:val="216"/>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1,237</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1,219</w:t>
            </w:r>
          </w:p>
        </w:tc>
        <w:tc>
          <w:tcPr>
            <w:tcW w:w="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(R&amp;D)</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Payroll and Benefits</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855</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683</w:t>
            </w:r>
          </w:p>
        </w:tc>
        <w:tc>
          <w:tcPr>
            <w:tcW w:w="60" w:type="dxa"/>
            <w:vAlign w:val="bottom"/>
            <w:shd w:val="clear" w:color="auto" w:fill="CCEEFF"/>
          </w:tcPr>
          <w:p>
            <w:pPr>
              <w:spacing w:after="0"/>
              <w:rPr>
                <w:sz w:val="18"/>
                <w:szCs w:val="18"/>
                <w:color w:val="auto"/>
              </w:rPr>
            </w:pPr>
          </w:p>
        </w:tc>
      </w:tr>
      <w:tr>
        <w:trPr>
          <w:trHeight w:val="216"/>
        </w:trPr>
        <w:tc>
          <w:tcPr>
            <w:tcW w:w="7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 based compensation</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668</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468</w:t>
            </w:r>
          </w:p>
        </w:tc>
        <w:tc>
          <w:tcPr>
            <w:tcW w:w="60" w:type="dxa"/>
            <w:vAlign w:val="bottom"/>
          </w:tcPr>
          <w:p>
            <w:pPr>
              <w:spacing w:after="0"/>
              <w:rPr>
                <w:sz w:val="18"/>
                <w:szCs w:val="18"/>
                <w:color w:val="auto"/>
              </w:rPr>
            </w:pPr>
          </w:p>
        </w:tc>
      </w:tr>
      <w:tr>
        <w:trPr>
          <w:trHeight w:val="216"/>
        </w:trPr>
        <w:tc>
          <w:tcPr>
            <w:tcW w:w="7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Clinical trials</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1,160</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784</w:t>
            </w:r>
          </w:p>
        </w:tc>
        <w:tc>
          <w:tcPr>
            <w:tcW w:w="60" w:type="dxa"/>
            <w:vAlign w:val="bottom"/>
            <w:shd w:val="clear" w:color="auto" w:fill="CCEEFF"/>
          </w:tcPr>
          <w:p>
            <w:pPr>
              <w:spacing w:after="0"/>
              <w:rPr>
                <w:sz w:val="18"/>
                <w:szCs w:val="18"/>
                <w:color w:val="auto"/>
              </w:rPr>
            </w:pPr>
          </w:p>
        </w:tc>
      </w:tr>
      <w:tr>
        <w:trPr>
          <w:trHeight w:val="216"/>
        </w:trPr>
        <w:tc>
          <w:tcPr>
            <w:tcW w:w="7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R&amp;D</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1,376</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690</w:t>
            </w:r>
          </w:p>
        </w:tc>
        <w:tc>
          <w:tcPr>
            <w:tcW w:w="60" w:type="dxa"/>
            <w:vAlign w:val="bottom"/>
          </w:tcPr>
          <w:p>
            <w:pPr>
              <w:spacing w:after="0"/>
              <w:rPr>
                <w:sz w:val="18"/>
                <w:szCs w:val="18"/>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4,059</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2,625</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Selling and marketing (S&amp;M)</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Payroll and Benefits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1,979</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822</w:t>
            </w:r>
          </w:p>
        </w:tc>
        <w:tc>
          <w:tcPr>
            <w:tcW w:w="60" w:type="dxa"/>
            <w:vAlign w:val="bottom"/>
          </w:tcPr>
          <w:p>
            <w:pPr>
              <w:spacing w:after="0"/>
              <w:rPr>
                <w:sz w:val="18"/>
                <w:szCs w:val="18"/>
                <w:color w:val="auto"/>
              </w:rPr>
            </w:pPr>
          </w:p>
        </w:tc>
      </w:tr>
      <w:tr>
        <w:trPr>
          <w:trHeight w:val="216"/>
        </w:trPr>
        <w:tc>
          <w:tcPr>
            <w:tcW w:w="7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based compensation</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217</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shd w:val="clear" w:color="auto" w:fill="CCEEFF"/>
          </w:tcPr>
          <w:p>
            <w:pPr>
              <w:spacing w:after="0"/>
              <w:rPr>
                <w:sz w:val="18"/>
                <w:szCs w:val="18"/>
                <w:color w:val="auto"/>
              </w:rPr>
            </w:pPr>
          </w:p>
        </w:tc>
      </w:tr>
      <w:tr>
        <w:trPr>
          <w:trHeight w:val="216"/>
        </w:trPr>
        <w:tc>
          <w:tcPr>
            <w:tcW w:w="7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S&amp;M</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554</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60" w:type="dxa"/>
            <w:vAlign w:val="bottom"/>
          </w:tcPr>
          <w:p>
            <w:pPr>
              <w:spacing w:after="0"/>
              <w:rPr>
                <w:sz w:val="18"/>
                <w:szCs w:val="18"/>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Selling and marketing</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2,750</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1,237</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(G&amp;A)</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Payroll and Benefits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1,676</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915</w:t>
            </w:r>
          </w:p>
        </w:tc>
        <w:tc>
          <w:tcPr>
            <w:tcW w:w="60" w:type="dxa"/>
            <w:vAlign w:val="bottom"/>
          </w:tcPr>
          <w:p>
            <w:pPr>
              <w:spacing w:after="0"/>
              <w:rPr>
                <w:sz w:val="18"/>
                <w:szCs w:val="18"/>
                <w:color w:val="auto"/>
              </w:rPr>
            </w:pPr>
          </w:p>
        </w:tc>
      </w:tr>
      <w:tr>
        <w:trPr>
          <w:trHeight w:val="216"/>
        </w:trPr>
        <w:tc>
          <w:tcPr>
            <w:tcW w:w="7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based compensation</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1,779</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1,784</w:t>
            </w:r>
          </w:p>
        </w:tc>
        <w:tc>
          <w:tcPr>
            <w:tcW w:w="60" w:type="dxa"/>
            <w:vAlign w:val="bottom"/>
            <w:shd w:val="clear" w:color="auto" w:fill="CCEEFF"/>
          </w:tcPr>
          <w:p>
            <w:pPr>
              <w:spacing w:after="0"/>
              <w:rPr>
                <w:sz w:val="18"/>
                <w:szCs w:val="18"/>
                <w:color w:val="auto"/>
              </w:rPr>
            </w:pPr>
          </w:p>
        </w:tc>
      </w:tr>
      <w:tr>
        <w:trPr>
          <w:trHeight w:val="216"/>
        </w:trPr>
        <w:tc>
          <w:tcPr>
            <w:tcW w:w="7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G&amp;A</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1,488</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1,145</w:t>
            </w:r>
          </w:p>
        </w:tc>
        <w:tc>
          <w:tcPr>
            <w:tcW w:w="60" w:type="dxa"/>
            <w:vAlign w:val="bottom"/>
          </w:tcPr>
          <w:p>
            <w:pPr>
              <w:spacing w:after="0"/>
              <w:rPr>
                <w:sz w:val="18"/>
                <w:szCs w:val="18"/>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4,943</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net;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294</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3"/>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net Loss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(11,166)</w:t>
            </w:r>
          </w:p>
        </w:tc>
        <w:tc>
          <w:tcPr>
            <w:tcW w:w="1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(7,032)</w:t>
            </w:r>
          </w:p>
        </w:tc>
      </w:tr>
      <w:tr>
        <w:trPr>
          <w:trHeight w:val="20"/>
        </w:trPr>
        <w:tc>
          <w:tcPr>
            <w:tcW w:w="6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SUBSEQUENT EVENTS: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Subsequent to March 31,2025, the Company granted to 348,370 restricted shares of the Company’s common stock to employees. The shares to employees are subject to a three-year vesting period, with one-third of such awards vesting each year.</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Subsequent to March 31,2025, one of the Company’s investors exercised pre-funded warrants to purchase 767,693 shares of the Company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accompanying condensed consolidated financial statements and related notes included elsewhere in this Quarterly Report on Form 10-Q.</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Form 10-Q to the “Company,” “InspireMD,” “we,” “our” and “us” refer to InspireMD, Inc., a Delaware corporation, and its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which include information relating to future events, future financial performance, strategies, expectations, competitive environment and regulation, including revenue growth. Words such as “may,” “will,” “should,” “could,” “would,” “predicts,” “potential,” “continue,” “expects,” “anticipates,” “future,” “intends,” “plans,” “believes,” “estimates,” and similar expressions, as well as statements in future tense, identify forward-looking statements. Forward-looking statements should not be read as a guarantee of future performance or results and may not be accurate indications of when such performance or results will be achieved. Forward-looking statements are based on information we have when those statements are made or our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92"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recurring losses and negative cash flows from operating activities, significant future commitments and the uncertainty regarding the adequacy of our liquidity to pursue our complete business objectives, and substantial doubt regarding our ability to continue as a going concern;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capital to meet our business requirements in the future and such capital raising may be costly or difficult to obtain and could dilute out stockholders’ ownership interests;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secure and maintain regulatory approvals for the sale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clinical trial results or lengthy product delays in key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the Nasdaq listing standards;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significant revenues from our products;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single manufacturing facility and our ability to comply with stringent manufacturing quality standards and to increase production as necessary;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data collected from our current and planned clinical trials may not be sufficient to demonstrate that our technology is an attractive alternative to other procedures and products;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our industry, with competitors having substantially greater financial, technological, research and development, regulatory and clinical, manufacturing, marketing and sales, distribution and personnel resources than we do;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new competitors and products and potential technological obsolescence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carry out research, development and commercialization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key customer or supplier;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problems with our research and products and potential product liability claims;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malfunctions;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 for supplies and components;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or inadequate reimbursement by governmental and other third-party payers for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successfully obtain and maintain intellectual property protection covering our products, which may not be successful;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federal, state and local government regulation, in the United States, Europe or Israel and other foreign jurisdictions;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conduct business in multiple foreign jurisdictions, exposing us to foreign currency exchange rate fluctuations, logistical and communications challenges, burdens and costs of compliance with foreign laws and political and economic instability in each jurisdiction;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political and economic instability in the Middle East that could harm our business, including due to the current security situation in Israel;</w:t>
      </w:r>
    </w:p>
    <w:p>
      <w:pPr>
        <w:spacing w:after="0" w:line="236" w:lineRule="exact"/>
        <w:rPr>
          <w:rFonts w:ascii="Times New Roman" w:cs="Times New Roman" w:eastAsia="Times New Roman" w:hAnsi="Times New Roman"/>
          <w:sz w:val="17"/>
          <w:szCs w:val="17"/>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or future unfavorable economic and market conditions and adverse developments with respect to financial institutions and associated liquidity risk;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tariffs, trade barriers, price and exchange controls and other regulatory requirements and the impact of such policies on us, our customers and suppliers, and the global economic environment.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foregoing does not represent an exhaustive list of matters that may be covered by the forward-looking statements contained herein or risk factors that we are faced with that may cause our actual results to differ from those anticipated in our forward-looking statements. For a discussion of these and other risks that relate to our business and investing in our common stock, you should carefully review the risks and uncertainties described in this Quarterly Report on Form 10-Q, and those described from time to time in our future reports filed with the Securities and Exchange Commission. The forward-looking statements contained in this Quarterly Report on Form 10-Q are expressly qualified in their entirety by this cautionary statement. We do not undertake any obligation to publicly update any forward-looking statement to reflect events or circumstances after the date on which any such statement is made or to reflect the occurrence of unanticipated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medical device company focusing on the development and commercialization of products for the treatment of carotid artery disease and other vascular disease, including our proprietary CGuard™ stent platform. A stent is an expandable scaffold-like device, usually constructed of a metallic material, that is inserted into the lumen of an artery to create patency and improved blood flow. A sleeve of MicroNet™ mesh is attached over a stent to provide embolic protection both during and after stenting procedures.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CGuard™ carotid embolic prevention system (“CGuard EPS”) combines MicroNet and a unique self-expandable nitinol stent in a single device for use in carotid artery revascularization. Our CGuard EPS originally received CE mark approval under Medical Device Directive 93/42/EEC (“MDD”) in the European Union (“EU”) in March 2013 and was fully launched in Europe in September 2015. Subsequently, we launched CGuard EPS in over 30 countries and on February 3, 2021, we executed a distribution agreement with Chinese partners for the purpose of expanding our presence in the Asian markets. In January 2024, we received CE mark recertification under the EU’s Medical Device Regulation regulatory framework.</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8, 2020, we received approval from the U.S. Food and Drug Administration (“FDA”) of our Investigation Device Exemption (“IDE”), thereby allowing us to proceed with a pivotal study of our CGuard™ Carotid Stent System, C-GUARDIANS, for prevention of stroke in patients in the United States. C-GUARDIANS is a prospective, multicenter, single-arm, pivotal study to evaluate the safety and efficacy of the CGuard™ Carotid Stent System when used to treat symptomatic and asymptomatic carotid artery stenosis in patients undergoing carotid artery stenting (“CAS”). The study, which completed enrollment in June 2023, enrolled 316 patients across 24 trial sites in the U.S. and Europe and from April 2023 included deployment of the CGuard stent using CGuard Prime, our next generation CAS stent platform.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8" w:name="page19"/>
    <w:bookmarkEnd w:id="1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primary endpoint was a composite of: (1) incidence of major adverse events including Death (all-cause mortality), any Stroke, and Myocardial Infarction (DSMI) through 30-days post index procedure, or (2) ipsilateral stroke from day 31 to day 365 post-procedure. All events were adjudicated by an independent clinical events committee. The composite index was compared to a performance goal based on the observed rate of the two components of the primary endpoint from previous pivotal stent trials which are considered industry standard. The performance goal was considered met if the upper bound of the two-sided 95% confidence interval calculated from the observed primary endpoint rate is &lt; 11.6% and the p-value is less than 0.025.</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May 2023, we announced positive 30-day follow up results from the C-GUARDIANS trial in which stenting with the CGuard Carotid Stent System in patients with carotid artery stenosis and at high risk for carotid endarterectomy had a DSMI rate of 0.95%, measured from the date of the procedure through 30 days follow-up post-procedure. In May 2024, we announced positive one-year follow up results from the C-GUARDIANS trial, with a rate of 30-day DSMI and ipsilateral stroke between 31 and 365 days of 1.95%.</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data were used to support the premarket approval (“PMA”) submission in September 2024 with a view to potential FDA approval of the CGuard Prime carotid stent system, currently expected in the third quarter of 2025.</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October 2024, the FDA approved the Company’s IDE to initiate the CGUARDIANS II pivotal study of its CGuard Prime 80cm Carotid Stent System during transcarotid revascularization (TCAR) procedures.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October 2023, the Centers for Medicare and Medicaid Service (“CMS”) issued its final National Coverage Determination (“NCD”), expanding coverage for both CAS and TCAR to include both asymptomatic and standard risk patients, significantly expanding and supporting the future growth of the U.S. CAS addressable market.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continue to invest in current and future potential new indications, products and manufacturing enhancements for CGuard that are expected to reduce cost of goods and/or provide the best-in-class performing delivery systems, such as CGuard Prime. In furtherance of our strategy that focuses on establishing the CGuard Carotid Stent System as a viable alternative to vascular surgery, we are developing a new transcarotid artery revascularization (TCAR) system, SwitchGuard™ neuroprotection system (“SwitchGuard NPS”), for transcarotid access and neuro protection. In addition, we intend to explore new indications for CGuard to leverage the advantages of stent design and mesh protection, well suited in labels such as acute stroke with tandem lesions.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consider our current addressable market for our CGuard Carotid Stent System and SwitchGuard NPS to be both symptomatic and asymptomatic individuals with diagnosed high-grade carotid artery stenosis for whom intervention is preferable to medical (drug) therapy. This group includes not only carotid artery stenting patients but also individuals undergoing carotid endarterectomy, as the two approaches compete for the same patient population. Assuming full penetration of the intervention caseload by CGuard, we estimate that the addressable market for CGuard Carotid Stent System and SwitchGuard NPS is approximately $1.3 billion (source: Health Research International Personal Medical Systems, Inc. September 13, 2021 Results of Update Report on Global Carotid Stenting Procedures and Markets by Major Geography and Addressable Markets and internal estimates). According to this same report and internal estimates, assuming full penetration of treatment for all individuals diagnosed with high-grade carotid artery stenosis, we estimate the total available market for CGuard Carotid Stent System and SwitchGuard NPS to be approximately $9.3 billion, which may grow over time if expanded treatment options such as CGuard Carotid Stent System and SwitchGuard NPS lead to increased patient screening for carotid artery disease.</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were organized in the State of Delaware on February 29, 2008. In October 2024, we established our global headquarters in Miami, Florida to support the anticipated U.S. launch and commercialization of the CGuard Prime carotid stent system.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critical accounting policy is one that is both important to the portrayal of our financial condition and results of operation and requires management’s most difficult, subjective or complex judgments, often as a result of the need to make estimates about the effect of matters that are inherently uncertain. Our critical accounting policies are more fully described in both (i) “Item 7. Management’s Discussion and Analysis of Financial Condition and Results of Operations” and (ii) Note 2 of the Notes to the Consolidated Financial Statements included in the Annual Report on Form 10-K for the year ended December 31, 2024. There have not been any material changes to such critical accounting policies since December 31, 2024.</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currency of the primary economic environment in which our operations are conducted is the U.S. dollar (“$” or “dollar”).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2025, compared to the three months ended March 31, 2024</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For the three months ended March 31, 2025, revenue increased by $18,000, or 1.2%, to $1,529,000, from $1,511,000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2024. Growth in the quarter was driven by continued adoption of our CGuard technology, offset by the impact of foreign exchange and distributors managing CGuard inventory levels in anticipation of the potential CGuard Prime approval in Europe.</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geographical regions, the increase in revenue was primarily attributable to a $50,000 increase in Latin America, a $21,000 increase in Asia due to continued adoption of our CGuard technology, and a $22,000 increase in North America due to sales in the United States related to stents used in our CGUARDIANS II pivotal study. This increase was offset by a $71,000 decrease in Europe driven by the impact of foreign exchange and distributors managing CGuard inventory levels in anticipation of the potential CGuard Prime approval in Europe and a $3,000 decrease in other territories.</w:t>
      </w:r>
    </w:p>
    <w:p>
      <w:pPr>
        <w:spacing w:after="0" w:line="17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For the three months ended March 31, 2025, our gross profit was $292,000, no change in our gross profit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2024. Gross margin (gross profits as a percentage of revenue) decreased to 19.1% during the three months ended March 31, 2025, from 19.3% during the three months ended March 31, 2024.</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For the three months ended March 31, 2025, research and development expenses increased by 1,434,000,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54.6%, to $4,059,000, from $2,625,000 during the three months ended March 31, 2024. This increase resulted primarily due to an increase of $670,000 of SwitchGuard NPS development and regulatory approval process including expenses related to the IDE application for the CGUARDIANS II pivotal study of the CGuard Prime 80cm Carotid Stent System, an increase in compensation expenses of $373,000, due to an increase of share-based compensation-related expenses and due to hiring of new employees in connection with our expansion in the United States, an increase of $282,000 related to CGuard Prime product preparation expenses for the anticipated U.S. commercial launch of CGuard Prime, and an increase of $109,000 in miscellaneous expenses.</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Selling and Marketing Expenses</w:t>
      </w:r>
      <w:r>
        <w:rPr>
          <w:rFonts w:ascii="Times New Roman" w:cs="Times New Roman" w:eastAsia="Times New Roman" w:hAnsi="Times New Roman"/>
          <w:sz w:val="18"/>
          <w:szCs w:val="18"/>
          <w:color w:val="auto"/>
        </w:rPr>
        <w:t>. For the three months ended March 31, 2025, selling and marketing expenses increased by $1,513,000,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122.3%, to $2,750,000 from $1,237,000 during the three months ended March 31, 2024. This increase resulted primarily from an increase in compensation expenses of $1,123,000 and related travel expenses of $129,000 as the Company build its U.S. commercial infrastructure to enter the U.S. market in anticipation of the potential FDA approval for CGuard Prime. In addition, there was an increase of $236,000 in promotional activities and an increase of $25,000 in miscellaneous expenses.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For the three months ended March 31, 2025, general and administrative expenses increased by $1,099,000,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28.6%, to $4,943,000, from $3,844,000 during the three months ended March 31, 2024. The increase was primarily driven by a $757,000 increase in compensation expenses and related accruals, mainly due to new hires for our Miami headquarters, salary increases and expected severance payments accrued for as a result of our chief financial officer’s announced retirement, a $223,000 increase in employee headhunting fees, $98,000 for rent expenses, mainly related to our Miami headquarters, and an increase of $21,000 in miscellaneous expenses.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Financial Income</w:t>
      </w:r>
      <w:r>
        <w:rPr>
          <w:rFonts w:ascii="Times New Roman" w:cs="Times New Roman" w:eastAsia="Times New Roman" w:hAnsi="Times New Roman"/>
          <w:sz w:val="18"/>
          <w:szCs w:val="18"/>
          <w:color w:val="auto"/>
        </w:rPr>
        <w:t>. For the three months ended March 31, 2025, financial income decreased by $88,000 or 23.0%, to $294,000, from $382,000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three months ended March 31, 2024. The decrease in financial income primarily resulted from a $90,000 decrease in interest income from investment in marketable securities, money market funds and short-term bank deposits.</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 Expenses. </w:t>
      </w:r>
      <w:r>
        <w:rPr>
          <w:rFonts w:ascii="Times New Roman" w:cs="Times New Roman" w:eastAsia="Times New Roman" w:hAnsi="Times New Roman"/>
          <w:sz w:val="18"/>
          <w:szCs w:val="18"/>
          <w:color w:val="auto"/>
        </w:rPr>
        <w:t>For the three months ended March 31, 2025, there was no material change in our tax expenses as compared to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2024.</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Net Loss</w:t>
      </w:r>
      <w:r>
        <w:rPr>
          <w:rFonts w:ascii="Times New Roman" w:cs="Times New Roman" w:eastAsia="Times New Roman" w:hAnsi="Times New Roman"/>
          <w:sz w:val="18"/>
          <w:szCs w:val="18"/>
          <w:color w:val="auto"/>
        </w:rPr>
        <w:t>. Our net loss increased by $4,134,000, or 58.8%, to $11,166,000, for the three months ended March 31, 2025, from $7,032,000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2024. The increase in net loss resulted primarily from an increase of $4,046,000 in operating expenses.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had an accumulated deficit as of March 31, 2025, of $265 million, as well as a net loss of $11,166,000 and negative operating cash flows. We expect to continue incurring losses and negative cash flows from operations until our product, CGuard EPS, reaches commercial profitability. As a result of these expected losses and negative cash flows from operations, along with our current cash position, we believe we do not have sufficient resources to fund operations for at least the next 12 months. Therefore, there is substantial doubt about our ability to continue as a going concern.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plans include continued commercialization of our products and raising capital through sale of additional equity securities, debt or capital inflows from strategic partnerships and exercise of warrants. There are no assurances, however, that we will be successful in obtaining the level of financing needed for our operations. If we are unsuccessful in commercializing our products or raising capital, we may need to reduce activities, curtail or cease operations.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May 2023, we closed a private placement offering of 10,266,270 shares (the “Private Placement Shares”) of our common stock, pre-funded warrants (the “Pre-Funded Warrants”) to purchase up to 15,561,894 shares of common stock and warrants to purchase up to an aggregate of 51,656,328 shares of common stock, consisting of Series H warrants to purchase up to 12,914,086 shares of common stock (the “Series H Warrants”), Series I warrants to purchase up to 12,914,078 shares of common stock (the “Series I Warrants”), Series J warrants to purchase up to 12,914,086 shares of Common Stock (the “Series J Warrants”) and Series K warrants to purchase up to 12,914,086 shares of common stock (the “Series K Warrants” and together with the Series H Warrants, Series I Warrants and Series J Warrants, the “Warrants”), at an offering price of $1.6327 per Private Placement Share and associated Warrants and an offering price of $1.6326 per Pre-Funded Warrant and associated Warrants that resulted in aggregate gross proceeds of approximately $42.2 million, before deducting fees payable to the placement agent and other offering expenses payable by us. If the Warrants issued in the private placement offering are exercised in cash in full this would result in an additional $71.4 million of gross proceeds.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May 2024, we entered into an Equity Distribution Agreement with Piper Sandler &amp; Co., as sales agent (“Piper Sandler), pursuant to which we may offer and sell, from time to time, at our option, through or to Piper Sandler up to $75,000,000 of our common stock (the “ATM Program”). As of the issuance date of this report, we have sold 920,898 shares of our common stock for total gross proceeds of approximately $2,396 thousands under the ATM Program.</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June 2024, Series H warrants to purchase 12,914,086 shares of common stock were exercised in full into 292,996 of shares of common stock and pre-funded warrants to purchase 12,621,090 shares of common stock. The net proceeds to the Company from the exercise of the Series H Warrants were $16.9 million after deducting placement agent fees.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2025, compared to the Three months ended March 31, 2024</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At March 31, 2025, we had cash and cash equivalents of $12,383,000 and marketable securities of $13,703,000, as compared to cash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equivalents of $18,916,000 and marketable securities of $15,721,000 as of December 31, 2024. We have historically met our cash needs through a combination of issuing new shares, borrowing activities and product sales. Our cash requirements are generally for research and development, marketing and sales activities, finance and administrative costs, capital expenditures and general working capital.</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1" w:name="page22"/>
    <w:bookmarkEnd w:id="2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2025, net cash used in our operating activities increased by $3,728,000, or 73.6%, to $8,792,000, from $5,064,000 during the same period in 2024. The primary reason for the increase in cash used in our operating activities was an increase of $986,000 in payments for third party related expenses and for professional services, an increase of $2,151,000 in compensation costs paid during the three months ended March 31, 2025 (from $3,675,000 in the three months ended March 31, 2024 to $5,826,000 in the three months ended March 31, 2025), a decrease of $555,000 in payments received from customers during the three months ended March 31, 2025 (from $2,110,000 in the three months ended March 31, 2024 to $1,555,000 during the three months ended March 31, 2025) and a decrease of $36,000 in interest income received from money market funds and marketable securities.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provided by our investing activities was $1,702,000 during the three months ended March 31, 2025, compared to $4,817,000 during the three months ended March 31, 2024. The primary reason for the decrease in cash provided by our investing activities is withdrawal of $2,949,000, net of investment in marketable securities and an increase of $164,000 in payments made for purchase of property, plant and equipment during the three months ended March 31, 2025.</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three months ended March 31, 2025, was $506,000. The source of the cash provided by financing activities during the three months ended March 31, 2025, were the proceeds from issuance of shares of $506,000, net of issuance costs, received from our ATM Program. There was no cash provided by financing activities for the three months ended March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 off-balance sheet transactions, arrangements, obligations (including contingent obligations) or other relationships with unconsolidated entities or other persons that have, or may have, a material effect on our financial condition, changes in financial condition, revenues or expenses, results of operations, liquidity, capital expenditures or capital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May Affect Future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our future operating results will continue to be subject to quarterly variations based upon a wide variety of factors, including the cyclical nature of the ordering patterns of our distributors, timing of regulatory approvals, the implementation of various phases of our clinical trials and manufacturing efficiencies due to the learning curve of utilizing new materials and equipment. Our operating results could also be impacted by a weakening of the Euro and strengthening of the NIS, both against the U.S. dollar. Lastly, other economic conditions we cannot foresee may affect customer demand, such as individual country reimbursement policies pertaining to our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there were no material changes to our contractual obligations and commitments since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Issued Accounting Pronouncements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3 to our condensed financial statements in Part I, Item 1 of this Quarterly Report on Form 10-Q for new accounting pronouncements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Conclusions Regarding Effectiveness of Disclosure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2025, we conducted an evaluation, under the supervision and participation of management including our chief executive officer and chief financial officer, of the effectiveness of our disclosure controls and procedures (as defined in Rule 13a-15(e) and Rule 15d-15(e) of the Securities Exchange Act of 1934, as amended). There are inherent limitations to the effectiveness of any system of disclosure controls and procedures. Accordingly, even effective disclosure controls and procedures can only provide reasonable assurance of achieving their control objectives.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upon this evaluation, our chief executive officer and chief financial officer concluded that our disclosure controls and procedures are effective at the reasonable assurance level as of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fiscal quarter ended March 31, 2025, that materially affected, or are reasonably likely to materially affect, our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 There are currently no pending material legal proceedings, and we are currently not aware of any legal proceedings or claims against us or our property that we believe will have any significant effect on our business, financial position or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Except as set forth below in this Item 1A and the Risk Factors included in our previous filings made with the SEC, there have been no material changes to our risk factors from those disclosed in “Part I. Item 1A. Risk Factors” in the Form 10-K filed with the SEC on March 12, 2025.</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Management has concluded that there is substantial doubt about our ability to continue as a going concern, and our condensed financial statements for the quarter ended March 31, 2025 includes an explanatory paragraph as to our ability to continue as a going concern, which could prevent us from obtaining new financing on reasonable terms or at all.</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we have had recurring losses and negative cash flows from operating activities, substantial doubt exists regarding our ability to remain as a going concern at the same level at which we are currently performing. Accordingly, our condensed financial statements for the quarter ended March 31, 2025 includes an explanatory paragraph as to our potential inability to continue as a going concern. The doubts regarding our potential ability to continue as a going concern may adversely affect our ability to obtain new financing on reasonable terms or at all.</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there are significant shifts in the political, economic and military conditions in Israel and its neighbors, it could have a material adverse effect on our business relationships and profitability.</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current manufacturing facility, certain of our key personnel and one of our offices are located in Israel. Our business is directly affected by the political, economic and military conditions in Israel and its neighbors. Since the establishment of the State of Israel in 1948, a number of armed conflicts have occurred between Israel and its Arab neighbors.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October 2023, Hamas terrorists infiltrated Israel’s southern border from the Gaza Strip and conducted a series of attacks on civilian and military targets. Hamas also launched extensive rocket attacks on Israeli population and industrial centers located along Israel’s border with the Gaza Strip and in other areas within the State of Israel. These attacks resulted in extensive deaths, injuries and kidnapping of civilians and soldiers. Following the attack, Israel’s security cabinet declared war against Hamas and a military campaign against these terrorist organizations commenced in parallel to their continued rocket and terror attacks.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since the commencement of these events, there have been continued hostilities along Israel’s northern border with Lebanon (with the Hezbollah terror organization) and on other fronts from various extremist groups in region, such as the Houthis in Yemen and various rebel militia groups in Syria and Iraq. In October 2024, Israel began limited ground operations against Hezbollah in Lebanon, and in November 2024, a ceasefire was brokered between Israel and Hezbollah. In addition, Iran recently launched direct attacks on Israel involving hundreds of drones and missiles and has threatened to continue to attack Israel and is widely believed to be developing nuclear weapons. Iran is also believed to have a strong influence among extremist groups in the region, such as Hamas in Gaza, Hezbollah in Lebanon, the Houthi movement in Yemen and various rebel militia groups in Syria and Iraq. These situations may potentially escalate in the future to more violent events which may affect Israel and us. Additionally, Yemeni rebel group, the Houthis, launched series of attacks on global shipping routes in the Red Sea, causing disruptions of supply chain. Such clashes may escalate in the future into a greater regional conflict.</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Israeli security cabinet’s declaration of war against Hamas and possible hostilities with other organizations, several hundred thousand Israeli military reservists were drafted to perform immediate military service, including five full time employees in Israel of ours. Although many of such military reservists have since been released, including all our employees, they may be called up for additional reserve duty, depending on developments in the war in Gaza and along Israel’s other borders. Military service call ups that result in absences of personnel from us for an extended period of time may materially and adversely affect our business, prospects, financial condition and results of operations. As of the date hereof, we currently have 66 full-time employees located in Israel.</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the war broke out on October 7, 2023, our operations have not been adversely affected by this situation, and we have not experienced disruptions to our clinical studies. None of the clinical sites currently participating in our clinical studies are located in Israel; however, we currently manufacture our CGuard at our facility in Tel Aviv, Israel. If there were a disruption to our existing manufacturing facility or our ability to procure raw materials and ship our products, we would have no other means of manufacturing and distributing CGuard until we were able to restore the manufacturing and distribution capability at our facility or develop alternative manufacturing facilities and distribution capabilities.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intensity and duration of Israel’s current war is difficult to predict at this stage, as are such war’s economic implications on the Company’s business and operations and on Israel’s economy in general. If the ceasefires declared collapse or a new war commences or hostilities expand to other fronts, our operations may be adversely affected.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commercial insurance does not cover losses that may occur as a result of events associated with war and terrorism. Although the Israeli government currently covers the reinstatement value of direct damages that are caused by terrorist attacks or acts of war,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harm our results of operations.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continued political instability and hostilities between Israel and its neighbors and any future armed conflict, terrorist activity or political instability in the region could adversely affect our operations in Israel and adversely affect the market price of our shares of common stock. In addition, several organizations and countries may restrict doing business with Israel and Israeli companies have been and are today subjected to economic boycotts. The interruption or curtailment of trade between Israel and its present trading partners could adversely affect our business, financial condition and results of operations.</w:t>
      </w:r>
    </w:p>
    <w:p>
      <w:pPr>
        <w:spacing w:after="0" w:line="18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Finally, political conditions within Israel may affect our operations. Israel has held five general elections between 2019 and 2022, and prior to October 2023, the Israeli government pursued extensive changes to Israel’s judicial system, which sparked extensive political debate and unrest. Actual or perceived political instability in Israel or any negative changes in the political environment, may individually or in the aggregate adversely affect the Israeli economy and, in turn, our business, financial condition, results of operations and growth prospects.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trade policy, including tariff and customs regulations, or failure to comply with such regulations may have an adverse effect on our reputation, business, financial condition and results of operations.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Changes in U.S. or international social, political, regulatory and economic conditions or in laws and policies governing trade, manufacturing, development and investment in the countries where we currently conduct our business could adversely affect our business, reputation, financial condition and results of operations. Changes or proposed changes in U.S. or other countries’ trade policies may result in restrictions and economic disincentives on international trade.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currently manufacture, package and distribute all of our products, including the CGuard Prime carotid stent system, which is under FDA review for U.S. commercial approval, at our own facility in Israel. To support our anticipated production growth following the anticipated commercialization of the CGuard Prime carotid stent system, we have engaged Aptyx Interventional Systems (“Aptyx”), a contract manufacturer that is a developer and manufacturer of complex components and devices for the life sciences, to transfer the manufacturing of CGuard Prime finished goods to full-scale production at their ISO Class 7 cleanroom facility in North Carolina. While we are in the process of establishing manufacturing operations in the United States with Aptyx, this transition will take time, and until it is operational, we expect to rely entirely on product shipments from Israel to the U.S. market.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U.S. government has recently imposed, or is currently considering imposing, tariffs on certain products, including medical devices, on certain trade partners, including Israel. Tariffs, economic sanctions and other changes in U.S. trade policy have in the past and could in the future trigger retaliatory actions by affected countries, and certain foreign governments have instituted or are considering imposing retaliatory measures on certain U.S. goods. Further, any emerging protectionist or nationalist trends (whether regulatory- or consumer-driven) either in the United States or in other countries could affect the trade environment. Our business, like many other corporations, would be impacted by changes to the trade policies of the United States and foreign countries (including governmental action related to tariffs, international trade agreements, or economic sanctions). If new tariffs are enacted while we remain dependent on Israeli manufacturing, our cost of goods sold for the U.S. market may increase materially, which could negatively impact our gross margins and limit our pricing flexibility. Additionally, changes to trade agreements or customs regulations between the U.S. and Israel could increase lead times, introduce logistical complexities, or require modifications to our supply chain planning. These or similar trade-related developments may have a material adverse effect on our business, financial condition, and results of operations.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42" w:gutter="0" w:footer="0" w:header="0"/>
        </w:sectPr>
      </w:pPr>
    </w:p>
    <w:bookmarkStart w:id="24" w:name="page25"/>
    <w:bookmarkEnd w:id="24"/>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2025, no director or officer of the Company adopted or terminated a “Rule 10b5-1 trading arrangement” or a “non-Rule 10b5-1 trading arrangement” (in each case, as defined in Item 408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140" w:type="dxa"/>
            <w:vAlign w:val="bottom"/>
            <w:gridSpan w:val="12"/>
          </w:tcPr>
          <w:p>
            <w:pPr>
              <w:ind w:left="8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140" w:type="dxa"/>
            <w:vAlign w:val="bottom"/>
            <w:tcBorders>
              <w:top w:val="single" w:sz="8" w:color="auto"/>
              <w:bottom w:val="single" w:sz="8" w:color="0000EE"/>
            </w:tcBorders>
            <w:gridSpan w:val="13"/>
          </w:tcPr>
          <w:p>
            <w:pPr>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Amended and Restated Certificate of Incorporation, as amended through March 31, 2015 (incorporated by reference to Exhibit 3.1 to</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Quarterly Report on Form 10-Q filed with the Securities and Exchange Commission on May 9, 2015)</w:t>
              </w:r>
            </w:hyperlink>
          </w:p>
        </w:tc>
        <w:tc>
          <w:tcPr>
            <w:tcW w:w="2820" w:type="dxa"/>
            <w:vAlign w:val="bottom"/>
            <w:gridSpan w:val="3"/>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0140" w:type="dxa"/>
            <w:vAlign w:val="bottom"/>
            <w:gridSpan w:val="13"/>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Amended and Restated Bylaws (incorporated by reference to Exhibit 3.2 to Current Report on Form 8-K filed with the Securities and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Exchange Commission on June 29, 2021)</w:t>
              </w:r>
            </w:hyperlink>
          </w:p>
        </w:tc>
        <w:tc>
          <w:tcPr>
            <w:tcW w:w="712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Certificate of Amendment to Amended and Restated Certificate of Incorporation of InspireMD, Inc. (incorporated by reference to Exhibit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Current Report on Form 8-K filed on May 25, 2016)</w:t>
              </w:r>
            </w:hyperlink>
          </w:p>
        </w:tc>
        <w:tc>
          <w:tcPr>
            <w:tcW w:w="5640" w:type="dxa"/>
            <w:vAlign w:val="bottom"/>
            <w:gridSpan w:val="11"/>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Certificate of Amendment to Amended and Restated Certificate of Incorporation of InspireMD, Inc. (incorporated by reference to Exhibit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Current Report on Form 8-K filed on September 29, 2016)</w:t>
              </w:r>
            </w:hyperlink>
          </w:p>
        </w:tc>
        <w:tc>
          <w:tcPr>
            <w:tcW w:w="5200" w:type="dxa"/>
            <w:vAlign w:val="bottom"/>
            <w:gridSpan w:val="8"/>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Certificate of Designation of Preferences, Rights and Limitations of Series C Convertible Preferred Stock (incorporated by reference to</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Exhibit 3.1 to the Current Report on Form 8-K filed on March 15, 2017)</w:t>
              </w:r>
            </w:hyperlink>
          </w:p>
        </w:tc>
        <w:tc>
          <w:tcPr>
            <w:tcW w:w="4920" w:type="dxa"/>
            <w:vAlign w:val="bottom"/>
            <w:gridSpan w:val="7"/>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Certificate of Amendment to Certificate of Designation of Preferences, Rights and Limitation of Series C Convertible Preferred Stock</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(incorporated by reference to Exhibit 3.1 to the Current Report on Form 8-K filed on November 29, 2017)</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20" w:type="dxa"/>
            <w:vAlign w:val="bottom"/>
            <w:tcBorders>
              <w:left w:val="single" w:sz="8" w:color="0000EE"/>
            </w:tcBorders>
            <w:gridSpan w:val="2"/>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Certificate of Amendment to Certificate of Designation of Preferences, Rights and Limitation of Series B Convertible Preferred Stock</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(incorporated by reference to Exhibit 3.1 to the Current Report on Form 8-K filed on December 12, 2017)</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Certificate of Amendment to Amended and Restated Certificate of Incorporation of InspireMD, Inc. (incorporated by reference to Exhibit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Current Report on Form 8-K filed on February 7, 2018)</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Certificate of Amendment to Amended and Restated Certificate of Incorporation of InspireMD, Inc. (incorporated by reference to Exhibit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Current Report on Form 8-K filed on March 28, 2019)</w:t>
              </w:r>
            </w:hyperlink>
          </w:p>
        </w:tc>
        <w:tc>
          <w:tcPr>
            <w:tcW w:w="5500" w:type="dxa"/>
            <w:vAlign w:val="bottom"/>
            <w:gridSpan w:val="10"/>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Certificate of Amendment to Amended and Restated Certificate of Incorporation of InspireMD, Inc., dated April 14, 2021 (incorporated by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reference to Exhibit 3.17 to the Quarterly Report on Form 10-Q filed on May 10, 2021)</w:t>
              </w:r>
            </w:hyperlink>
          </w:p>
        </w:tc>
        <w:tc>
          <w:tcPr>
            <w:tcW w:w="3840" w:type="dxa"/>
            <w:vAlign w:val="bottom"/>
            <w:gridSpan w:val="6"/>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Certificate of Amendment to Amended and Restated Certificate of Incorporation of InspireMD, Inc. (incorporated by reference to Exhibit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Current Report on Form 8-K filed on September 13, 2023)</w:t>
              </w:r>
            </w:hyperlink>
          </w:p>
        </w:tc>
        <w:tc>
          <w:tcPr>
            <w:tcW w:w="5200" w:type="dxa"/>
            <w:vAlign w:val="bottom"/>
            <w:gridSpan w:val="8"/>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Sarbanes-Oxley Act of 2002</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714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the Sarbanes-Oxley Act of 2002</w:t>
            </w:r>
          </w:p>
        </w:tc>
        <w:tc>
          <w:tcPr>
            <w:tcW w:w="40" w:type="dxa"/>
            <w:vAlign w:val="bottom"/>
            <w:tcBorders>
              <w:top w:val="single" w:sz="8" w:color="0000EE"/>
            </w:tcBorders>
          </w:tcPr>
          <w:p>
            <w:pPr>
              <w:spacing w:after="0"/>
              <w:rPr>
                <w:sz w:val="24"/>
                <w:szCs w:val="24"/>
                <w:color w:val="auto"/>
              </w:rPr>
            </w:pPr>
          </w:p>
        </w:tc>
        <w:tc>
          <w:tcPr>
            <w:tcW w:w="2960" w:type="dxa"/>
            <w:vAlign w:val="bottom"/>
            <w:gridSpan w:val="4"/>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906 of the Sarbanes-Oxley Act of 2002</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714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906 of the Sarbanes-Oxley Act of 2002</w:t>
            </w:r>
          </w:p>
        </w:tc>
        <w:tc>
          <w:tcPr>
            <w:tcW w:w="40" w:type="dxa"/>
            <w:vAlign w:val="bottom"/>
            <w:tcBorders>
              <w:top w:val="single" w:sz="8" w:color="0000EE"/>
            </w:tcBorders>
          </w:tcPr>
          <w:p>
            <w:pPr>
              <w:spacing w:after="0"/>
              <w:rPr>
                <w:sz w:val="24"/>
                <w:szCs w:val="24"/>
                <w:color w:val="auto"/>
              </w:rPr>
            </w:pPr>
          </w:p>
        </w:tc>
        <w:tc>
          <w:tcPr>
            <w:tcW w:w="2960" w:type="dxa"/>
            <w:vAlign w:val="bottom"/>
            <w:gridSpan w:val="4"/>
          </w:tcPr>
          <w:p>
            <w:pPr>
              <w:spacing w:after="0"/>
              <w:rPr>
                <w:sz w:val="24"/>
                <w:szCs w:val="24"/>
                <w:color w:val="auto"/>
              </w:rPr>
            </w:pPr>
          </w:p>
        </w:tc>
      </w:tr>
      <w:tr>
        <w:trPr>
          <w:trHeight w:val="4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34"/>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bl>
    <w:p>
      <w:pPr>
        <w:sectPr>
          <w:pgSz w:w="11900" w:h="16918" w:orient="portrait"/>
          <w:cols w:equalWidth="0" w:num="1">
            <w:col w:w="11240"/>
          </w:cols>
          <w:pgMar w:left="320" w:top="684" w:right="339" w:bottom="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p>
      <w:pPr>
        <w:spacing w:after="0" w:line="211" w:lineRule="exact"/>
        <w:rPr>
          <w:sz w:val="20"/>
          <w:szCs w:val="20"/>
          <w:color w:val="auto"/>
        </w:rPr>
      </w:pPr>
    </w:p>
    <w:p>
      <w:pPr>
        <w:sectPr>
          <w:pgSz w:w="11900" w:h="16838" w:orient="portrait"/>
          <w:cols w:equalWidth="0" w:num="2">
            <w:col w:w="740" w:space="360"/>
            <w:col w:w="9039"/>
          </w:cols>
          <w:pgMar w:left="320" w:top="337" w:right="1440" w:bottom="1440" w:gutter="0" w:footer="0" w:header="0"/>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 Page Interactive Data File (formatted in Inline XBRL and contained in Exhibit 101)</w:t>
      </w:r>
    </w:p>
    <w:p>
      <w:pPr>
        <w:spacing w:after="0" w:line="211" w:lineRule="exact"/>
        <w:rPr>
          <w:sz w:val="20"/>
          <w:szCs w:val="20"/>
          <w:color w:val="auto"/>
        </w:rPr>
      </w:pPr>
    </w:p>
    <w:p>
      <w:pPr>
        <w:sectPr>
          <w:pgSz w:w="11900" w:h="16838" w:orient="portrait"/>
          <w:cols w:equalWidth="0" w:num="2">
            <w:col w:w="380" w:space="720"/>
            <w:col w:w="9039"/>
          </w:cols>
          <w:pgMar w:left="320" w:top="337" w:right="1440"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INSPIREMD, INC.</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2025</w:t>
            </w:r>
          </w:p>
        </w:tc>
        <w:tc>
          <w:tcPr>
            <w:tcW w:w="27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Marvin Slosman</w:t>
            </w:r>
          </w:p>
        </w:tc>
      </w:tr>
      <w:tr>
        <w:trPr>
          <w:trHeight w:val="191"/>
        </w:trPr>
        <w:tc>
          <w:tcPr>
            <w:tcW w:w="3440" w:type="dxa"/>
            <w:vAlign w:val="bottom"/>
          </w:tcPr>
          <w:p>
            <w:pPr>
              <w:spacing w:after="0"/>
              <w:rPr>
                <w:sz w:val="16"/>
                <w:szCs w:val="16"/>
                <w:color w:val="auto"/>
              </w:rPr>
            </w:pPr>
          </w:p>
        </w:tc>
        <w:tc>
          <w:tcPr>
            <w:tcW w:w="2760" w:type="dxa"/>
            <w:vAlign w:val="bottom"/>
          </w:tcPr>
          <w:p>
            <w:pPr>
              <w:ind w:left="22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Marvin Slosman,</w:t>
            </w:r>
          </w:p>
        </w:tc>
      </w:tr>
      <w:tr>
        <w:trPr>
          <w:trHeight w:val="216"/>
        </w:trPr>
        <w:tc>
          <w:tcPr>
            <w:tcW w:w="34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440" w:type="dxa"/>
            <w:vAlign w:val="bottom"/>
          </w:tcPr>
          <w:p>
            <w:pPr>
              <w:spacing w:after="0"/>
              <w:rPr>
                <w:sz w:val="20"/>
                <w:szCs w:val="20"/>
                <w:color w:val="auto"/>
              </w:rPr>
            </w:pPr>
          </w:p>
        </w:tc>
        <w:tc>
          <w:tcPr>
            <w:tcW w:w="27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2025</w:t>
            </w:r>
          </w:p>
        </w:tc>
        <w:tc>
          <w:tcPr>
            <w:tcW w:w="27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Craig Shore</w:t>
            </w:r>
          </w:p>
        </w:tc>
      </w:tr>
      <w:tr>
        <w:trPr>
          <w:trHeight w:val="191"/>
        </w:trPr>
        <w:tc>
          <w:tcPr>
            <w:tcW w:w="3440" w:type="dxa"/>
            <w:vAlign w:val="bottom"/>
          </w:tcPr>
          <w:p>
            <w:pPr>
              <w:spacing w:after="0"/>
              <w:rPr>
                <w:sz w:val="16"/>
                <w:szCs w:val="16"/>
                <w:color w:val="auto"/>
              </w:rPr>
            </w:pPr>
          </w:p>
        </w:tc>
        <w:tc>
          <w:tcPr>
            <w:tcW w:w="2760" w:type="dxa"/>
            <w:vAlign w:val="bottom"/>
          </w:tcPr>
          <w:p>
            <w:pPr>
              <w:ind w:left="22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Shore</w:t>
            </w:r>
          </w:p>
        </w:tc>
      </w:tr>
      <w:tr>
        <w:trPr>
          <w:trHeight w:val="216"/>
        </w:trPr>
        <w:tc>
          <w:tcPr>
            <w:tcW w:w="34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r>
      <w:tr>
        <w:trPr>
          <w:trHeight w:val="234"/>
        </w:trPr>
        <w:tc>
          <w:tcPr>
            <w:tcW w:w="3440" w:type="dxa"/>
            <w:vAlign w:val="bottom"/>
          </w:tcPr>
          <w:p>
            <w:pPr>
              <w:spacing w:after="0"/>
              <w:rPr>
                <w:sz w:val="20"/>
                <w:szCs w:val="20"/>
                <w:color w:val="auto"/>
              </w:rPr>
            </w:pPr>
          </w:p>
        </w:tc>
        <w:tc>
          <w:tcPr>
            <w:tcW w:w="27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34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color w:val="auto"/>
              </w:rPr>
              <w:t>12</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7" w:name="page28"/>
    <w:bookmarkEnd w:id="27"/>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Marvin Slosman, certify that:</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InspireMD,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Marvin Slosman</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Marvin Slosman</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8" w:name="page29"/>
    <w:bookmarkEnd w:id="28"/>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Shore, certify that:</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InspireMD,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Craig Shore</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Shore</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InspireMD, Inc. (the “Company”) for the period ended March 31, 2025 as filed with the Securities and Exchange Commission on the date hereof (the “Report”), I, Marvin Slosman, Chief Executive Officer of the Company, certify, pursuant to 18 U.S.C. ss. 1350, that, to my knowledge:</w:t>
      </w:r>
    </w:p>
    <w:p>
      <w:pPr>
        <w:spacing w:after="0" w:line="176"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periods covered in this report.</w:t>
      </w:r>
    </w:p>
    <w:p>
      <w:pPr>
        <w:spacing w:after="0" w:line="160"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Marvin Slosman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Marvin Slosman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InspireMD, Inc. (the “Company”) for the period ended March 31, 2025 as filed with the Securities and Exchange Commission on the date hereof (the “Report”), I, Craig Shore, Chief Financial Officer of the Company, certify, pursuant to 18 U.S.C. ss. 1350, that, to my knowledge:</w:t>
      </w:r>
    </w:p>
    <w:p>
      <w:pPr>
        <w:spacing w:after="0" w:line="176"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periods covered in this report.</w:t>
      </w:r>
    </w:p>
    <w:p>
      <w:pPr>
        <w:spacing w:after="0" w:line="160"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Craig Shore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Craig Shore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Secretary and Treasurer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Letter"/>
      <w:start w:val="3"/>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lowerLetter"/>
      <w:start w:val="4"/>
    </w:lvl>
  </w:abstractNum>
  <w:abstractNum w:abstractNumId="10">
    <w:nsid w:val="DED7263"/>
    <w:multiLevelType w:val="hybridMultilevel"/>
    <w:lvl w:ilvl="0">
      <w:lvlJc w:val="left"/>
      <w:lvlText w:val="%1."/>
      <w:numFmt w:val="lowerLetter"/>
      <w:start w:val="2"/>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35" Type="http://schemas.openxmlformats.org/officeDocument/2006/relationships/hyperlink" Target="https://www.sec.gov/Archives/edgar/data/1433607/000161577415003178/s102096_ex3-1.htm" TargetMode="External"/><Relationship Id="rId36" Type="http://schemas.openxmlformats.org/officeDocument/2006/relationships/hyperlink" Target="https://www.sec.gov/Archives/edgar/data/1433607/000149315221015545/ex3-2.htm" TargetMode="External"/><Relationship Id="rId37" Type="http://schemas.openxmlformats.org/officeDocument/2006/relationships/hyperlink" Target="https://www.sec.gov/Archives/edgar/data/1433607/000161577416005628/s103343_ex3-1.htm" TargetMode="External"/><Relationship Id="rId38" Type="http://schemas.openxmlformats.org/officeDocument/2006/relationships/hyperlink" Target="https://www.sec.gov/Archives/edgar/data/1433607/000149315216013705/ex3-1.htm" TargetMode="External"/><Relationship Id="rId39" Type="http://schemas.openxmlformats.org/officeDocument/2006/relationships/hyperlink" Target="https://www.sec.gov/Archives/edgar/data/1433607/000149315217002455/ex3-1.htm" TargetMode="External"/><Relationship Id="rId40" Type="http://schemas.openxmlformats.org/officeDocument/2006/relationships/hyperlink" Target="https://www.sec.gov/Archives/edgar/data/1433607/000149315217013917/ex3-1.htm" TargetMode="External"/><Relationship Id="rId41" Type="http://schemas.openxmlformats.org/officeDocument/2006/relationships/hyperlink" Target="https://www.sec.gov/Archives/edgar/data/1433607/000149315217014515/ex3-1.htm" TargetMode="External"/><Relationship Id="rId42" Type="http://schemas.openxmlformats.org/officeDocument/2006/relationships/hyperlink" Target="https://www.sec.gov/Archives/edgar/data/1433607/000149315218001617/ex3-1.htm" TargetMode="External"/><Relationship Id="rId43" Type="http://schemas.openxmlformats.org/officeDocument/2006/relationships/hyperlink" Target="https://www.sec.gov/Archives/edgar/data/1433607/000149315219004101/ex3-1.htm" TargetMode="External"/><Relationship Id="rId44" Type="http://schemas.openxmlformats.org/officeDocument/2006/relationships/hyperlink" Target="https://www.sec.gov/Archives/edgar/data/1433607/000149315221010881/ex3-17.htm" TargetMode="External"/><Relationship Id="rId45" Type="http://schemas.openxmlformats.org/officeDocument/2006/relationships/hyperlink" Target="https://www.sec.gov/Archives/edgar/data/1433607/000149315223032486/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2025-05-08T15:23:42Z</dcterms:created>
  <dcterms:modified xsi:type="dcterms:W3CDTF">2025-05-08T15:23:42Z</dcterms:modified>
</cp:coreProperties>
</file>