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742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74255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Gleason Shane Thomas</w:t>
              </w:r>
            </w:hyperlink>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InspireMD,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NSPR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tcBorders>
              <w:bottom w:val="single" w:sz="8" w:color="0000EE"/>
            </w:tcBorders>
            <w:gridSpan w:val="3"/>
            <w:vMerge w:val="continue"/>
          </w:tcPr>
          <w:p>
            <w:pPr>
              <w:spacing w:after="0"/>
              <w:rPr>
                <w:sz w:val="5"/>
                <w:szCs w:val="5"/>
                <w:color w:val="auto"/>
              </w:rPr>
            </w:pPr>
          </w:p>
        </w:tc>
        <w:tc>
          <w:tcPr>
            <w:tcW w:w="28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gridSpan w:val="3"/>
          </w:tcPr>
          <w:p>
            <w:pPr>
              <w:spacing w:after="0"/>
              <w:rPr>
                <w:sz w:val="4"/>
                <w:szCs w:val="4"/>
                <w:color w:val="auto"/>
              </w:rPr>
            </w:pPr>
          </w:p>
        </w:tc>
        <w:tc>
          <w:tcPr>
            <w:tcW w:w="28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bottom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80" w:type="dxa"/>
            <w:vAlign w:val="bottom"/>
            <w:gridSpan w:val="3"/>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6"/>
            <w:vMerge w:val="continue"/>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INSPIREMD, INC.</w:t>
            </w:r>
          </w:p>
        </w:tc>
        <w:tc>
          <w:tcPr>
            <w:tcW w:w="1340" w:type="dxa"/>
            <w:vAlign w:val="bottom"/>
          </w:tcPr>
          <w:p>
            <w:pPr>
              <w:spacing w:after="0"/>
              <w:rPr>
                <w:sz w:val="11"/>
                <w:szCs w:val="11"/>
                <w:color w:val="auto"/>
              </w:rPr>
            </w:pPr>
          </w:p>
        </w:tc>
        <w:tc>
          <w:tcPr>
            <w:tcW w:w="15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01/27/2025</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6303 WATERFORD DISTRICT DRIVE, SUITE</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7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215</w:t>
            </w: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74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FL</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33126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38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6"/>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gridSpan w:val="5"/>
          </w:tcPr>
          <w:p>
            <w:pPr>
              <w:jc w:val="center"/>
              <w:ind w:left="58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4"/>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1"/>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3"/>
              </w:rPr>
              <w:t>3,858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2.71</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1,135,319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1"/>
              <w:spacing w:after="0"/>
              <w:rPr>
                <w:sz w:val="20"/>
                <w:szCs w:val="20"/>
                <w:color w:val="auto"/>
              </w:rPr>
            </w:pPr>
            <w:r>
              <w:rPr>
                <w:rFonts w:ascii="Times New Roman" w:cs="Times New Roman" w:eastAsia="Times New Roman" w:hAnsi="Times New Roman"/>
                <w:sz w:val="17"/>
                <w:szCs w:val="17"/>
                <w:color w:val="0000FF"/>
              </w:rPr>
              <w:t>01/28/2025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3"/>
              </w:rPr>
              <w:t>2,476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1,132,843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1"/>
              <w:spacing w:after="0"/>
              <w:rPr>
                <w:sz w:val="20"/>
                <w:szCs w:val="20"/>
                <w:color w:val="auto"/>
              </w:rPr>
            </w:pPr>
            <w:r>
              <w:rPr>
                <w:rFonts w:ascii="Times New Roman" w:cs="Times New Roman" w:eastAsia="Times New Roman" w:hAnsi="Times New Roman"/>
                <w:sz w:val="17"/>
                <w:szCs w:val="17"/>
                <w:color w:val="0000FF"/>
              </w:rPr>
              <w:t>01/29/2025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3"/>
              </w:rPr>
              <w:t>3,660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2.46</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1,129,183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1"/>
              <w:spacing w:after="0"/>
              <w:rPr>
                <w:sz w:val="20"/>
                <w:szCs w:val="20"/>
                <w:color w:val="auto"/>
              </w:rPr>
            </w:pPr>
            <w:r>
              <w:rPr>
                <w:rFonts w:ascii="Times New Roman" w:cs="Times New Roman" w:eastAsia="Times New Roman" w:hAnsi="Times New Roman"/>
                <w:sz w:val="17"/>
                <w:szCs w:val="17"/>
                <w:color w:val="0000FF"/>
              </w:rPr>
              <w:t>01/30/2025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3"/>
              </w:rPr>
              <w:t>2,454</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1,126,729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1"/>
              <w:spacing w:after="0"/>
              <w:rPr>
                <w:sz w:val="20"/>
                <w:szCs w:val="20"/>
                <w:color w:val="auto"/>
              </w:rPr>
            </w:pPr>
            <w:r>
              <w:rPr>
                <w:rFonts w:ascii="Times New Roman" w:cs="Times New Roman" w:eastAsia="Times New Roman" w:hAnsi="Times New Roman"/>
                <w:sz w:val="17"/>
                <w:szCs w:val="17"/>
                <w:color w:val="0000FF"/>
              </w:rPr>
              <w:t>01/31/2025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3"/>
              </w:rPr>
              <w:t>9,923</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1,116,806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1"/>
              <w:spacing w:after="0"/>
              <w:rPr>
                <w:sz w:val="20"/>
                <w:szCs w:val="20"/>
                <w:color w:val="auto"/>
              </w:rPr>
            </w:pPr>
            <w:r>
              <w:rPr>
                <w:rFonts w:ascii="Times New Roman" w:cs="Times New Roman" w:eastAsia="Times New Roman" w:hAnsi="Times New Roman"/>
                <w:sz w:val="17"/>
                <w:szCs w:val="17"/>
                <w:color w:val="0000FF"/>
              </w:rPr>
              <w:t>02/03/2025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3"/>
              </w:rPr>
              <w:t>7,073</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1,109,733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1"/>
              <w:spacing w:after="0"/>
              <w:rPr>
                <w:sz w:val="20"/>
                <w:szCs w:val="20"/>
                <w:color w:val="auto"/>
              </w:rPr>
            </w:pPr>
            <w:r>
              <w:rPr>
                <w:rFonts w:ascii="Times New Roman" w:cs="Times New Roman" w:eastAsia="Times New Roman" w:hAnsi="Times New Roman"/>
                <w:sz w:val="17"/>
                <w:szCs w:val="17"/>
                <w:color w:val="0000FF"/>
              </w:rPr>
              <w:t>02/04/2025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3"/>
              </w:rPr>
              <w:t>5,132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2.46</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1,104,601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1"/>
              <w:spacing w:after="0"/>
              <w:rPr>
                <w:sz w:val="20"/>
                <w:szCs w:val="20"/>
                <w:color w:val="auto"/>
              </w:rPr>
            </w:pPr>
            <w:r>
              <w:rPr>
                <w:rFonts w:ascii="Times New Roman" w:cs="Times New Roman" w:eastAsia="Times New Roman" w:hAnsi="Times New Roman"/>
                <w:sz w:val="17"/>
                <w:szCs w:val="17"/>
                <w:color w:val="0000FF"/>
              </w:rPr>
              <w:t>02/25/2025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3"/>
              </w:rPr>
              <w:t>10,000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1,094,601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1"/>
              <w:spacing w:after="0"/>
              <w:rPr>
                <w:sz w:val="20"/>
                <w:szCs w:val="20"/>
                <w:color w:val="auto"/>
              </w:rPr>
            </w:pPr>
            <w:r>
              <w:rPr>
                <w:rFonts w:ascii="Times New Roman" w:cs="Times New Roman" w:eastAsia="Times New Roman" w:hAnsi="Times New Roman"/>
                <w:sz w:val="17"/>
                <w:szCs w:val="17"/>
                <w:color w:val="0000FF"/>
              </w:rPr>
              <w:t>05/23/2025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3"/>
              </w:rPr>
              <w:t>2,482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1,092,119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1"/>
              <w:spacing w:after="0"/>
              <w:rPr>
                <w:sz w:val="20"/>
                <w:szCs w:val="20"/>
                <w:color w:val="auto"/>
              </w:rPr>
            </w:pPr>
            <w:r>
              <w:rPr>
                <w:rFonts w:ascii="Times New Roman" w:cs="Times New Roman" w:eastAsia="Times New Roman" w:hAnsi="Times New Roman"/>
                <w:sz w:val="17"/>
                <w:szCs w:val="17"/>
                <w:color w:val="0000FF"/>
              </w:rPr>
              <w:t>05/27/2025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3"/>
              </w:rPr>
              <w:t>1,572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1,090,547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1"/>
              <w:spacing w:after="0"/>
              <w:rPr>
                <w:sz w:val="20"/>
                <w:szCs w:val="20"/>
                <w:color w:val="auto"/>
              </w:rPr>
            </w:pPr>
            <w:r>
              <w:rPr>
                <w:rFonts w:ascii="Times New Roman" w:cs="Times New Roman" w:eastAsia="Times New Roman" w:hAnsi="Times New Roman"/>
                <w:sz w:val="17"/>
                <w:szCs w:val="17"/>
                <w:color w:val="0000FF"/>
              </w:rPr>
              <w:t>05/29/2025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3"/>
              </w:rPr>
              <w:t>3,760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1,086,787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1"/>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3"/>
              </w:rPr>
              <w:t>7,186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1,079,601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1"/>
              <w:spacing w:after="0"/>
              <w:rPr>
                <w:sz w:val="20"/>
                <w:szCs w:val="20"/>
                <w:color w:val="auto"/>
              </w:rPr>
            </w:pPr>
            <w:r>
              <w:rPr>
                <w:rFonts w:ascii="Times New Roman" w:cs="Times New Roman" w:eastAsia="Times New Roman" w:hAnsi="Times New Roman"/>
                <w:sz w:val="17"/>
                <w:szCs w:val="17"/>
                <w:color w:val="0000FF"/>
              </w:rPr>
              <w:t>02/02/2026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3"/>
              </w:rPr>
              <w:t>2,941</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1,076,660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1"/>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3"/>
              </w:rPr>
              <w:t>22,778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1.01</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1,053,882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20" w:type="dxa"/>
            <w:vAlign w:val="bottom"/>
            <w:gridSpan w:val="16"/>
          </w:tcPr>
          <w:p>
            <w:pPr>
              <w:jc w:val="center"/>
              <w:ind w:left="46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4"/>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356"/>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of common stock required to be sold by the reporting person to cover tax withholding obligations in connection with the vesting of restricted stock grants pursuant to an automatic sales instruction letter adopted by the reporting person on November 25, 2024 effecting the sell-to-cover election. These sales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reported securities were sold in multiple transactions at prices ranging from $1.00 to $1.04. The reporting person undertakes to provide to the Issuer, any security holder of the Issuer, or the staff of the Securities and Exchange Commission, upon request, full information regarding the number of shares sold at each separate price within such range.</w:t>
      </w:r>
    </w:p>
    <w:p>
      <w:pPr>
        <w:sectPr>
          <w:pgSz w:w="11900" w:h="16838" w:orient="portrait"/>
          <w:cols w:equalWidth="0" w:num="1">
            <w:col w:w="11080"/>
          </w:cols>
          <w:pgMar w:left="460" w:top="219" w:right="359" w:bottom="0"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Lawless, Attorney- 05/21/2026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in-Fact for Shane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51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66214" TargetMode="External"/><Relationship Id="rId14" Type="http://schemas.openxmlformats.org/officeDocument/2006/relationships/hyperlink" Target="http://www.sec.gov/cgi-bin/browse-edgar?action=getcompany&amp;CIK=0001433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2026-05-21T16:48:52Z</dcterms:created>
  <dcterms:modified xsi:type="dcterms:W3CDTF">2026-05-21T16:48:52Z</dcterms:modified>
</cp:coreProperties>
</file>