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InspireMD,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4,819,647.00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4,819,647.00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4,819,647.00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4,819,647.00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4,819,647.00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4,819,647.00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4,819,647.00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4,819,647.00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4,819,647.00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4"/>
        <w:gridCol w:w="8946"/>
        <w:gridCol w:w="155"/>
      </w:tblGrid>
      <w:tr>
        <w:trPr/>
        <w:tc>
          <w:tcPr>
            <w:tcW w:w="1104" w:type="dxa"/>
            <w:tcBorders/>
            <w:vAlign w:val="center"/>
          </w:tcPr>
          <w:p>
            <w:pPr>
              <w:pStyle w:val="TableContents"/>
              <w:bidi w:val="0"/>
              <w:spacing w:before="0" w:after="283"/>
              <w:jc w:val="left"/>
              <w:rPr/>
            </w:pPr>
            <w:r>
              <w:rPr/>
              <w:t>Item 1.</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issuer: </w:t>
            </w:r>
          </w:p>
          <w:p>
            <w:pPr>
              <w:pStyle w:val="TableContents"/>
              <w:bidi w:val="0"/>
              <w:spacing w:before="0" w:after="0"/>
              <w:jc w:val="left"/>
              <w:rPr/>
            </w:pPr>
            <w:r>
              <w:rPr/>
              <w:t>InspireMD, Inc.</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6303 WATERFORD DISTRICT DRIVE SUITE 215 MIAMI, FLORIDA 33126</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2.</w:t>
            </w:r>
          </w:p>
        </w:tc>
        <w:tc>
          <w:tcPr>
            <w:tcW w:w="894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3.</w:t>
            </w:r>
          </w:p>
        </w:tc>
        <w:tc>
          <w:tcPr>
            <w:tcW w:w="894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(d)</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(e)</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(f)</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(g)</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(h)</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(j)</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(k)</w:t>
            </w:r>
          </w:p>
        </w:tc>
        <w:tc>
          <w:tcPr>
            <w:tcW w:w="894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9101" w:type="dxa"/>
            <w:gridSpan w:val="2"/>
            <w:tcBorders/>
            <w:vAlign w:val="center"/>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4.</w:t>
            </w:r>
          </w:p>
        </w:tc>
        <w:tc>
          <w:tcPr>
            <w:tcW w:w="894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(a)</w:t>
            </w:r>
          </w:p>
        </w:tc>
        <w:tc>
          <w:tcPr>
            <w:tcW w:w="894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4,819,647 Shares held by funds and separately managed accounts under its control, and as the managing members of Nantahala, each of Messrs. Harkey and Mack may be deemed to be a beneficial owner of those Shares. The 4,819,647 Shares Include 1,443,163 Shares which may be acquired by the Reporting Persons within sixty days through the exercise of convertible securities.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(b)</w:t>
            </w:r>
          </w:p>
        </w:tc>
        <w:tc>
          <w:tcPr>
            <w:tcW w:w="894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9.99% (2) Wilmot B. Harkey: 9.99% (3) Daniel Mack: 9.99%  %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(c)</w:t>
            </w:r>
          </w:p>
        </w:tc>
        <w:tc>
          <w:tcPr>
            <w:tcW w:w="894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4,819,647 Shares. (2) Wilmot B. Harkey: 4,819,647 Shares. (3) Daniel Mack: 4,819,647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4,819,647 Shares. (2) Wilmot B. Harkey: 4,819,647 Shares. (3) Daniel Mack: 4,819,647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5.</w:t>
            </w:r>
          </w:p>
        </w:tc>
        <w:tc>
          <w:tcPr>
            <w:tcW w:w="894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6.</w:t>
            </w:r>
          </w:p>
        </w:tc>
        <w:tc>
          <w:tcPr>
            <w:tcW w:w="894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NANTAHALA CAPITAL PARTNERS LIMITED PARTNERSHIP, a fund advised by Nantahala, has the right to receive or the power to direct the receipt of dividends from, or the proceeds from the sale of more than five percent of the outstanding shares of common stock beneficially owned by Nantahala reported herein.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7.</w:t>
            </w:r>
          </w:p>
        </w:tc>
        <w:tc>
          <w:tcPr>
            <w:tcW w:w="894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8.</w:t>
            </w:r>
          </w:p>
        </w:tc>
        <w:tc>
          <w:tcPr>
            <w:tcW w:w="894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Item 9.</w:t>
            </w:r>
          </w:p>
        </w:tc>
        <w:tc>
          <w:tcPr>
            <w:tcW w:w="894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4" w:type="dxa"/>
            <w:tcBorders/>
            <w:vAlign w:val="center"/>
          </w:tcPr>
          <w:p>
            <w:pPr>
              <w:pStyle w:val="TableContents"/>
              <w:bidi w:val="0"/>
              <w:spacing w:before="0" w:after="283"/>
              <w:jc w:val="left"/>
              <w:rPr/>
            </w:pPr>
            <w:r>
              <w:rPr/>
              <w:t> </w:t>
            </w:r>
          </w:p>
        </w:tc>
        <w:tc>
          <w:tcPr>
            <w:tcW w:w="894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1450</Words>
  <Characters>7513</Characters>
  <CharactersWithSpaces>8912</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