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780" w:right="1760" w:hanging="3772"/>
        <w:spacing w:after="0" w:line="500" w:lineRule="auto"/>
        <w:tabs>
          <w:tab w:leader="none" w:pos="33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001-35731</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InspireMD,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26-2123838</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740" w:right="339" w:bottom="144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6303 Waterford District Drive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215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Miami, Florida 33126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(Zip Code)</w:t>
      </w:r>
    </w:p>
    <w:p>
      <w:pPr>
        <w:sectPr>
          <w:pgSz w:w="11900" w:h="16838" w:orient="portrait"/>
          <w:cols w:equalWidth="0" w:num="1">
            <w:col w:w="11240"/>
          </w:cols>
          <w:pgMar w:left="320" w:top="740"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776-6804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p>
      <w:pPr>
        <w:ind w:left="190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63" w:lineRule="exact"/>
        <w:rPr>
          <w:sz w:val="24"/>
          <w:szCs w:val="24"/>
          <w:color w:val="auto"/>
        </w:rPr>
      </w:pPr>
    </w:p>
    <w:p>
      <w:pPr>
        <w:ind w:left="1960"/>
        <w:spacing w:after="0" w:line="207" w:lineRule="exact"/>
        <w:tabs>
          <w:tab w:leader="none" w:pos="732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9" w:lineRule="exact"/>
        <w:rPr>
          <w:sz w:val="24"/>
          <w:szCs w:val="24"/>
          <w:color w:val="auto"/>
        </w:rPr>
      </w:pPr>
    </w:p>
    <w:p>
      <w:pPr>
        <w:ind w:left="7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NSPR</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$0.0001 par value, outstanding as of May 7, 2026: 46,838,962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980" w:type="dxa"/>
            <w:vAlign w:val="bottom"/>
          </w:tcPr>
          <w:p>
            <w:pPr>
              <w:spacing w:after="0"/>
              <w:rPr>
                <w:sz w:val="20"/>
                <w:szCs w:val="20"/>
                <w:color w:val="auto"/>
              </w:rPr>
            </w:pPr>
          </w:p>
        </w:tc>
      </w:tr>
      <w:tr>
        <w:trPr>
          <w:trHeight w:val="630"/>
        </w:trPr>
        <w:tc>
          <w:tcPr>
            <w:tcW w:w="2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rPr>
              <w:t>INSPIREMD, INC.</w:t>
            </w:r>
          </w:p>
        </w:tc>
        <w:tc>
          <w:tcPr>
            <w:tcW w:w="98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7320" w:type="dxa"/>
            <w:vAlign w:val="bottom"/>
            <w:gridSpan w:val="5"/>
          </w:tcPr>
          <w:p>
            <w:pPr>
              <w:jc w:val="center"/>
              <w:ind w:right="1850"/>
              <w:spacing w:after="0"/>
              <w:rPr>
                <w:sz w:val="20"/>
                <w:szCs w:val="20"/>
                <w:color w:val="auto"/>
              </w:rPr>
            </w:pPr>
            <w:r>
              <w:rPr>
                <w:rFonts w:ascii="Times New Roman" w:cs="Times New Roman" w:eastAsia="Times New Roman" w:hAnsi="Times New Roman"/>
                <w:sz w:val="18"/>
                <w:szCs w:val="18"/>
                <w:color w:val="auto"/>
                <w:w w:val="98"/>
              </w:rPr>
              <w:t>CONDENSED CONSOLIDATED FINANCIAL STATEMENTS</w:t>
            </w:r>
          </w:p>
        </w:tc>
        <w:tc>
          <w:tcPr>
            <w:tcW w:w="98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7320" w:type="dxa"/>
            <w:vAlign w:val="bottom"/>
            <w:gridSpan w:val="5"/>
          </w:tcPr>
          <w:p>
            <w:pPr>
              <w:jc w:val="center"/>
              <w:ind w:right="1870"/>
              <w:spacing w:after="0"/>
              <w:rPr>
                <w:sz w:val="20"/>
                <w:szCs w:val="20"/>
                <w:color w:val="auto"/>
              </w:rPr>
            </w:pPr>
            <w:r>
              <w:rPr>
                <w:rFonts w:ascii="Times New Roman" w:cs="Times New Roman" w:eastAsia="Times New Roman" w:hAnsi="Times New Roman"/>
                <w:sz w:val="18"/>
                <w:szCs w:val="18"/>
                <w:color w:val="auto"/>
                <w:w w:val="99"/>
              </w:rPr>
              <w:t>AS OF AND FOR THE QUARTER ENDED MARCH 31, 2026</w:t>
            </w:r>
          </w:p>
        </w:tc>
        <w:tc>
          <w:tcPr>
            <w:tcW w:w="98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tcPr>
          <w:p>
            <w:pPr>
              <w:jc w:val="center"/>
              <w:ind w:right="313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980" w:type="dxa"/>
            <w:vAlign w:val="bottom"/>
          </w:tcPr>
          <w:p>
            <w:pPr>
              <w:spacing w:after="0"/>
              <w:rPr>
                <w:sz w:val="24"/>
                <w:szCs w:val="24"/>
                <w:color w:val="auto"/>
              </w:rPr>
            </w:pPr>
          </w:p>
        </w:tc>
      </w:tr>
      <w:tr>
        <w:trPr>
          <w:trHeight w:val="432"/>
        </w:trPr>
        <w:tc>
          <w:tcPr>
            <w:tcW w:w="29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4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0"/>
        </w:trPr>
        <w:tc>
          <w:tcPr>
            <w:tcW w:w="102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 (UNAUDITED):</w:t>
            </w:r>
          </w:p>
        </w:tc>
        <w:tc>
          <w:tcPr>
            <w:tcW w:w="980" w:type="dxa"/>
            <w:vAlign w:val="bottom"/>
            <w:shd w:val="clear" w:color="auto" w:fill="CCEEFF"/>
          </w:tcPr>
          <w:p>
            <w:pPr>
              <w:spacing w:after="0"/>
              <w:rPr>
                <w:sz w:val="18"/>
                <w:szCs w:val="18"/>
                <w:color w:val="auto"/>
              </w:rPr>
            </w:pPr>
          </w:p>
        </w:tc>
      </w:tr>
      <w:tr>
        <w:trPr>
          <w:trHeight w:val="175"/>
        </w:trPr>
        <w:tc>
          <w:tcPr>
            <w:tcW w:w="102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F-2 - F-3</w:t>
            </w:r>
          </w:p>
        </w:tc>
      </w:tr>
      <w:tr>
        <w:trPr>
          <w:trHeight w:val="21"/>
        </w:trPr>
        <w:tc>
          <w:tcPr>
            <w:tcW w:w="29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
        </w:trPr>
        <w:tc>
          <w:tcPr>
            <w:tcW w:w="29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Equity</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F-5 - F-6</w:t>
            </w:r>
          </w:p>
        </w:tc>
      </w:tr>
      <w:tr>
        <w:trPr>
          <w:trHeight w:val="21"/>
        </w:trPr>
        <w:tc>
          <w:tcPr>
            <w:tcW w:w="29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29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F-8 - F-15</w:t>
            </w:r>
          </w:p>
        </w:tc>
      </w:tr>
      <w:tr>
        <w:trPr>
          <w:trHeight w:val="453"/>
        </w:trPr>
        <w:tc>
          <w:tcPr>
            <w:tcW w:w="294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40" w:type="dxa"/>
            <w:vAlign w:val="bottom"/>
            <w:tcBorders>
              <w:bottom w:val="single" w:sz="8" w:color="auto"/>
            </w:tcBorders>
          </w:tcPr>
          <w:p>
            <w:pPr>
              <w:jc w:val="center"/>
              <w:ind w:right="3150"/>
              <w:spacing w:after="0"/>
              <w:rPr>
                <w:sz w:val="20"/>
                <w:szCs w:val="20"/>
                <w:color w:val="auto"/>
              </w:rPr>
            </w:pPr>
            <w:r>
              <w:rPr>
                <w:rFonts w:ascii="Times New Roman" w:cs="Times New Roman" w:eastAsia="Times New Roman" w:hAnsi="Times New Roman"/>
                <w:sz w:val="18"/>
                <w:szCs w:val="18"/>
                <w:color w:val="auto"/>
                <w:w w:val="95"/>
              </w:rPr>
              <w:t>F-1</w:t>
            </w: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680" w:type="dxa"/>
            <w:vAlign w:val="bottom"/>
            <w:tcBorders>
              <w:bottom w:val="single" w:sz="8" w:color="CCEEFF"/>
            </w:tcBorders>
          </w:tcPr>
          <w:p>
            <w:pPr>
              <w:spacing w:after="0"/>
              <w:rPr>
                <w:sz w:val="20"/>
                <w:szCs w:val="20"/>
                <w:color w:val="auto"/>
              </w:rPr>
            </w:pPr>
          </w:p>
        </w:tc>
        <w:tc>
          <w:tcPr>
            <w:tcW w:w="27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11,362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8,939</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30,208</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45,272</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net</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2,381</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2,168</w:t>
            </w: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1,296</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3,036</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3,396</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48,594</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61,471</w:t>
            </w:r>
          </w:p>
        </w:tc>
      </w:tr>
      <w:tr>
        <w:trPr>
          <w:trHeight w:val="209"/>
        </w:trPr>
        <w:tc>
          <w:tcPr>
            <w:tcW w:w="468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 term deposit</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446</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3,651</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3,584</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2,595</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2,758</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 in respect of employee rights upon retirement</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1,185</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1,149</w:t>
            </w: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76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56,471</w:t>
            </w:r>
          </w:p>
        </w:tc>
        <w:tc>
          <w:tcPr>
            <w:tcW w:w="3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69,404</w:t>
            </w:r>
          </w:p>
        </w:tc>
        <w:tc>
          <w:tcPr>
            <w:tcW w:w="10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46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2"/>
          </w:tcPr>
          <w:p>
            <w:pPr>
              <w:jc w:val="right"/>
              <w:ind w:right="1896"/>
              <w:spacing w:after="0"/>
              <w:rPr>
                <w:sz w:val="20"/>
                <w:szCs w:val="20"/>
                <w:color w:val="auto"/>
              </w:rPr>
            </w:pPr>
            <w:r>
              <w:rPr>
                <w:rFonts w:ascii="Times New Roman" w:cs="Times New Roman" w:eastAsia="Times New Roman" w:hAnsi="Times New Roman"/>
                <w:sz w:val="18"/>
                <w:szCs w:val="18"/>
                <w:color w:val="auto"/>
              </w:rPr>
              <w:t>F-2</w:t>
            </w: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other than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19"/>
                <w:szCs w:val="19"/>
                <w:color w:val="auto"/>
              </w:rPr>
            </w:pPr>
          </w:p>
        </w:tc>
        <w:tc>
          <w:tcPr>
            <w:tcW w:w="15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744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1,954</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shd w:val="clear" w:color="auto" w:fill="CCEEFF"/>
          </w:tcPr>
          <w:p>
            <w:pPr>
              <w:spacing w:after="0"/>
              <w:rPr>
                <w:sz w:val="18"/>
                <w:szCs w:val="18"/>
                <w:color w:val="auto"/>
              </w:rPr>
            </w:pPr>
          </w:p>
        </w:tc>
      </w:tr>
      <w:tr>
        <w:trPr>
          <w:trHeight w:val="229"/>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7,489</w:t>
            </w:r>
          </w:p>
        </w:tc>
        <w:tc>
          <w:tcPr>
            <w:tcW w:w="2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9,457</w:t>
            </w:r>
          </w:p>
        </w:tc>
        <w:tc>
          <w:tcPr>
            <w:tcW w:w="80" w:type="dxa"/>
            <w:vAlign w:val="bottom"/>
          </w:tcPr>
          <w:p>
            <w:pPr>
              <w:spacing w:after="0"/>
              <w:rPr>
                <w:sz w:val="19"/>
                <w:szCs w:val="19"/>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 maturities</w:t>
            </w:r>
          </w:p>
        </w:tc>
        <w:tc>
          <w:tcPr>
            <w:tcW w:w="2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2,042</w:t>
            </w:r>
          </w:p>
        </w:tc>
        <w:tc>
          <w:tcPr>
            <w:tcW w:w="2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2,224</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for employee rights upon retirement and others</w:t>
            </w:r>
          </w:p>
        </w:tc>
        <w:tc>
          <w:tcPr>
            <w:tcW w:w="2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1,369</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1,267</w:t>
            </w:r>
          </w:p>
        </w:tc>
        <w:tc>
          <w:tcPr>
            <w:tcW w:w="80" w:type="dxa"/>
            <w:vAlign w:val="bottom"/>
            <w:shd w:val="clear" w:color="auto" w:fill="CCEEFF"/>
          </w:tcPr>
          <w:p>
            <w:pPr>
              <w:spacing w:after="0"/>
              <w:rPr>
                <w:sz w:val="19"/>
                <w:szCs w:val="19"/>
                <w:color w:val="auto"/>
              </w:rPr>
            </w:pPr>
          </w:p>
        </w:tc>
      </w:tr>
      <w:tr>
        <w:trPr>
          <w:trHeight w:val="209"/>
        </w:trPr>
        <w:tc>
          <w:tcPr>
            <w:tcW w:w="7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2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3,411</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3,491</w:t>
            </w:r>
          </w:p>
        </w:tc>
        <w:tc>
          <w:tcPr>
            <w:tcW w:w="80" w:type="dxa"/>
            <w:vAlign w:val="bottom"/>
            <w:shd w:val="clear" w:color="auto" w:fill="CCEEFF"/>
          </w:tcPr>
          <w:p>
            <w:pPr>
              <w:spacing w:after="0"/>
              <w:rPr>
                <w:sz w:val="19"/>
                <w:szCs w:val="19"/>
                <w:color w:val="auto"/>
              </w:rPr>
            </w:pPr>
          </w:p>
        </w:tc>
      </w:tr>
      <w:tr>
        <w:trPr>
          <w:trHeight w:val="209"/>
        </w:trPr>
        <w:tc>
          <w:tcPr>
            <w:tcW w:w="7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12,854</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14,203</w:t>
            </w:r>
          </w:p>
        </w:tc>
        <w:tc>
          <w:tcPr>
            <w:tcW w:w="80" w:type="dxa"/>
            <w:vAlign w:val="bottom"/>
            <w:shd w:val="clear" w:color="auto" w:fill="CCEEFF"/>
          </w:tcPr>
          <w:p>
            <w:pPr>
              <w:spacing w:after="0"/>
              <w:rPr>
                <w:sz w:val="19"/>
                <w:szCs w:val="19"/>
                <w:color w:val="auto"/>
              </w:rPr>
            </w:pP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w:t>
            </w: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7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150,000,000 shares authorized at March 31, 2026</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December 31, 2025; 46,838,963 and 43,532,281 shares issued and outstanding at March 31,</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 and December 31, 2025, respectively</w:t>
            </w: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0"/>
                <w:szCs w:val="20"/>
                <w:color w:val="auto"/>
              </w:rPr>
            </w:pP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C shares, par value $0.0001 per share; 1,172,000 shares authorized at March 31, 2026</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December 31, 2025; 1,718 shares issued and outstanding at March 31, 2026 and December</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31 2025</w:t>
            </w:r>
          </w:p>
        </w:tc>
        <w:tc>
          <w:tcPr>
            <w:tcW w:w="28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359,594</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357,489</w:t>
            </w:r>
          </w:p>
        </w:tc>
        <w:tc>
          <w:tcPr>
            <w:tcW w:w="80" w:type="dxa"/>
            <w:vAlign w:val="bottom"/>
            <w:shd w:val="clear" w:color="auto" w:fill="CCEEFF"/>
          </w:tcPr>
          <w:p>
            <w:pPr>
              <w:spacing w:after="0"/>
              <w:rPr>
                <w:sz w:val="18"/>
                <w:szCs w:val="18"/>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9"/>
                <w:szCs w:val="19"/>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(315,981)</w:t>
            </w:r>
          </w:p>
        </w:tc>
        <w:tc>
          <w:tcPr>
            <w:tcW w:w="220" w:type="dxa"/>
            <w:vAlign w:val="bottom"/>
          </w:tcPr>
          <w:p>
            <w:pPr>
              <w:spacing w:after="0"/>
              <w:rPr>
                <w:sz w:val="19"/>
                <w:szCs w:val="19"/>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(302,292)</w:t>
            </w:r>
          </w:p>
        </w:tc>
      </w:tr>
      <w:tr>
        <w:trPr>
          <w:trHeight w:val="210"/>
        </w:trPr>
        <w:tc>
          <w:tcPr>
            <w:tcW w:w="7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43,617</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56,471</w:t>
            </w:r>
          </w:p>
        </w:tc>
        <w:tc>
          <w:tcPr>
            <w:tcW w:w="32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Represents an amount less than $1 thousand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5"/>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3 Months Ended March 31,</w:t>
            </w:r>
          </w:p>
        </w:tc>
      </w:tr>
      <w:tr>
        <w:trPr>
          <w:trHeight w:val="223"/>
        </w:trPr>
        <w:tc>
          <w:tcPr>
            <w:tcW w:w="74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3,398</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1,529</w:t>
            </w: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80" w:type="dxa"/>
            <w:vAlign w:val="bottom"/>
          </w:tcPr>
          <w:p>
            <w:pPr>
              <w:spacing w:after="0"/>
              <w:rPr>
                <w:sz w:val="19"/>
                <w:szCs w:val="19"/>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2,711</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1,237</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4,763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4,059</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5,180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2,750</w:t>
            </w: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4,722</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4,943</w:t>
            </w:r>
          </w:p>
        </w:tc>
      </w:tr>
      <w:tr>
        <w:trPr>
          <w:trHeight w:val="209"/>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14,665</w:t>
            </w:r>
          </w:p>
        </w:tc>
        <w:tc>
          <w:tcPr>
            <w:tcW w:w="3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11,752</w:t>
            </w:r>
          </w:p>
        </w:tc>
        <w:tc>
          <w:tcPr>
            <w:tcW w:w="100" w:type="dxa"/>
            <w:vAlign w:val="bottom"/>
            <w:tcBorders>
              <w:bottom w:val="single" w:sz="8" w:color="CCEEFF"/>
            </w:tcBorders>
          </w:tcPr>
          <w:p>
            <w:pPr>
              <w:spacing w:after="0"/>
              <w:rPr>
                <w:sz w:val="18"/>
                <w:szCs w:val="18"/>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(13,978)</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INCOME, net</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289</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294</w:t>
            </w: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(13,689)</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w:t>
            </w:r>
          </w:p>
        </w:tc>
      </w:tr>
      <w:tr>
        <w:trPr>
          <w:trHeight w:val="263"/>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3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47"/>
        </w:trPr>
        <w:tc>
          <w:tcPr>
            <w:tcW w:w="744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7"/>
                <w:szCs w:val="17"/>
                <w:b w:val="1"/>
                <w:bCs w:val="1"/>
                <w:color w:val="auto"/>
              </w:rPr>
              <w:t>WEIGHTED AVERAGE NUMBER OF COMMON STOCK USED IN COMPUTING</w:t>
            </w:r>
          </w:p>
        </w:tc>
        <w:tc>
          <w:tcPr>
            <w:tcW w:w="3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26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38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83,801,839</w:t>
            </w:r>
          </w:p>
        </w:tc>
        <w:tc>
          <w:tcPr>
            <w:tcW w:w="3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49,993,509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2"/>
        </w:trPr>
        <w:tc>
          <w:tcPr>
            <w:tcW w:w="3900" w:type="dxa"/>
            <w:vAlign w:val="bottom"/>
          </w:tcPr>
          <w:p>
            <w:pPr>
              <w:spacing w:after="0"/>
              <w:rPr>
                <w:sz w:val="21"/>
                <w:szCs w:val="21"/>
                <w:color w:val="auto"/>
              </w:rPr>
            </w:pPr>
          </w:p>
        </w:tc>
        <w:tc>
          <w:tcPr>
            <w:tcW w:w="220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9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Preferred C shares</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48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900" w:type="dxa"/>
            <w:vAlign w:val="bottom"/>
          </w:tcPr>
          <w:p>
            <w:pPr>
              <w:spacing w:after="0"/>
              <w:rPr>
                <w:sz w:val="19"/>
                <w:szCs w:val="19"/>
                <w:color w:val="auto"/>
              </w:rPr>
            </w:pPr>
          </w:p>
        </w:tc>
        <w:tc>
          <w:tcPr>
            <w:tcW w:w="12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Pr>
          <w:p>
            <w:pPr>
              <w:spacing w:after="0"/>
              <w:rPr>
                <w:sz w:val="19"/>
                <w:szCs w:val="19"/>
                <w:color w:val="auto"/>
              </w:rPr>
            </w:pPr>
          </w:p>
        </w:tc>
        <w:tc>
          <w:tcPr>
            <w:tcW w:w="96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00" w:type="dxa"/>
            <w:vAlign w:val="bottom"/>
          </w:tcPr>
          <w:p>
            <w:pPr>
              <w:spacing w:after="0"/>
              <w:rPr>
                <w:sz w:val="19"/>
                <w:szCs w:val="19"/>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40" w:type="dxa"/>
            <w:vAlign w:val="bottom"/>
          </w:tcPr>
          <w:p>
            <w:pPr>
              <w:spacing w:after="0"/>
              <w:rPr>
                <w:sz w:val="19"/>
                <w:szCs w:val="19"/>
                <w:color w:val="auto"/>
              </w:rPr>
            </w:pPr>
          </w:p>
        </w:tc>
        <w:tc>
          <w:tcPr>
            <w:tcW w:w="134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39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26,611,033</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1,718</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289,589</w:t>
            </w:r>
          </w:p>
        </w:tc>
        <w:tc>
          <w:tcPr>
            <w:tcW w:w="14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(253,506)</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36,086</w:t>
            </w:r>
          </w:p>
        </w:tc>
        <w:tc>
          <w:tcPr>
            <w:tcW w:w="80" w:type="dxa"/>
            <w:vAlign w:val="bottom"/>
            <w:shd w:val="clear" w:color="auto" w:fill="CCEEFF"/>
          </w:tcPr>
          <w:p>
            <w:pPr>
              <w:spacing w:after="0"/>
              <w:rPr>
                <w:sz w:val="18"/>
                <w:szCs w:val="18"/>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(11,166)</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(11,166)</w:t>
            </w: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 of pre-funded warrants</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643,860</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r>
      <w:tr>
        <w:trPr>
          <w:trHeight w:val="194"/>
        </w:trPr>
        <w:tc>
          <w:tcPr>
            <w:tcW w:w="3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stock, included at the</w:t>
            </w: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market offering net of $22 issuance costs</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273,621</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696</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696</w:t>
            </w:r>
          </w:p>
        </w:tc>
        <w:tc>
          <w:tcPr>
            <w:tcW w:w="80" w:type="dxa"/>
            <w:vAlign w:val="bottom"/>
          </w:tcPr>
          <w:p>
            <w:pPr>
              <w:spacing w:after="0"/>
              <w:rPr>
                <w:sz w:val="20"/>
                <w:szCs w:val="20"/>
                <w:color w:val="auto"/>
              </w:rPr>
            </w:pPr>
          </w:p>
        </w:tc>
      </w:tr>
      <w:tr>
        <w:trPr>
          <w:trHeight w:val="194"/>
        </w:trPr>
        <w:tc>
          <w:tcPr>
            <w:tcW w:w="390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Share-based compensation related to</w:t>
            </w: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 and</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 options award, net of forfeitures of</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2"/>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29,295 shares</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2,224,147</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2,729</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2,729</w:t>
            </w:r>
          </w:p>
        </w:tc>
        <w:tc>
          <w:tcPr>
            <w:tcW w:w="80" w:type="dxa"/>
            <w:vAlign w:val="bottom"/>
            <w:shd w:val="clear" w:color="auto" w:fill="CCEEFF"/>
          </w:tcPr>
          <w:p>
            <w:pPr>
              <w:spacing w:after="0"/>
              <w:rPr>
                <w:sz w:val="21"/>
                <w:szCs w:val="21"/>
                <w:color w:val="auto"/>
              </w:rPr>
            </w:pP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29,752,661</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1,718</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293,014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(264,672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an amount less than $1 thousand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EQUITY</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tbl>
      <w:tblPr>
        <w:tblLayout w:type="fixed"/>
        <w:tblInd w:w="388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2"/>
        </w:trPr>
        <w:tc>
          <w:tcPr>
            <w:tcW w:w="220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Preferred C shares</w:t>
            </w:r>
          </w:p>
        </w:tc>
        <w:tc>
          <w:tcPr>
            <w:tcW w:w="32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23"/>
        </w:trPr>
        <w:tc>
          <w:tcPr>
            <w:tcW w:w="9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2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32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32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r>
    </w:tbl>
    <w:p>
      <w:pPr>
        <w:spacing w:after="0" w:line="194" w:lineRule="exact"/>
        <w:rPr>
          <w:sz w:val="20"/>
          <w:szCs w:val="20"/>
          <w:color w:val="auto"/>
        </w:rPr>
      </w:pPr>
    </w:p>
    <w:p>
      <w:pPr>
        <w:sectPr>
          <w:pgSz w:w="11900" w:h="16838" w:orient="portrait"/>
          <w:cols w:equalWidth="0" w:num="1">
            <w:col w:w="11200"/>
          </w:cols>
          <w:pgMar w:left="320" w:top="657" w:right="379" w:bottom="1440" w:gutter="0" w:footer="0" w:header="0"/>
        </w:sectPr>
      </w:pPr>
    </w:p>
    <w:p>
      <w:pPr>
        <w:ind w:left="180" w:right="1080" w:hanging="179"/>
        <w:spacing w:after="0" w:line="263" w:lineRule="auto"/>
        <w:rPr>
          <w:sz w:val="20"/>
          <w:szCs w:val="20"/>
          <w:color w:val="auto"/>
        </w:rPr>
      </w:pPr>
      <w:r>
        <w:rPr>
          <w:rFonts w:ascii="Times New Roman" w:cs="Times New Roman" w:eastAsia="Times New Roman" w:hAnsi="Times New Roman"/>
          <w:sz w:val="18"/>
          <w:szCs w:val="18"/>
          <w:b w:val="1"/>
          <w:bCs w:val="1"/>
          <w:color w:val="auto"/>
        </w:rPr>
        <w:t>BALANCE AT January 1, 2026 Net loss</w:t>
      </w:r>
    </w:p>
    <w:p>
      <w:pPr>
        <w:spacing w:after="0" w:line="1" w:lineRule="exact"/>
        <w:rPr>
          <w:sz w:val="20"/>
          <w:szCs w:val="20"/>
          <w:color w:val="auto"/>
        </w:rPr>
      </w:pPr>
    </w:p>
    <w:p>
      <w:pPr>
        <w:ind w:left="180" w:right="120"/>
        <w:spacing w:after="0" w:line="250" w:lineRule="auto"/>
        <w:rPr>
          <w:sz w:val="20"/>
          <w:szCs w:val="20"/>
          <w:color w:val="auto"/>
        </w:rPr>
      </w:pPr>
      <w:r>
        <w:rPr>
          <w:rFonts w:ascii="Times New Roman" w:cs="Times New Roman" w:eastAsia="Times New Roman" w:hAnsi="Times New Roman"/>
          <w:sz w:val="18"/>
          <w:szCs w:val="18"/>
          <w:b w:val="1"/>
          <w:bCs w:val="1"/>
          <w:color w:val="auto"/>
        </w:rPr>
        <w:t>Share-based compensation related to restricted stock, restricted stock units and stock options award, net of forfeitures of 276,373 shares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p>
      <w:pPr>
        <w:spacing w:after="0" w:line="28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Represents an amount less than $1 thousand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43,532,281</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1,718</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357,489</w:t>
            </w: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(302,292)</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(13,689)</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(13,689)</w:t>
            </w:r>
          </w:p>
        </w:tc>
        <w:tc>
          <w:tcPr>
            <w:tcW w:w="0" w:type="dxa"/>
            <w:vAlign w:val="bottom"/>
          </w:tcPr>
          <w:p>
            <w:pPr>
              <w:spacing w:after="0"/>
              <w:rPr>
                <w:sz w:val="1"/>
                <w:szCs w:val="1"/>
                <w:color w:val="auto"/>
              </w:rPr>
            </w:pPr>
          </w:p>
        </w:tc>
      </w:tr>
      <w:tr>
        <w:trPr>
          <w:trHeight w:val="878"/>
        </w:trPr>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3,306,682</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2,105</w:t>
            </w:r>
          </w:p>
        </w:tc>
        <w:tc>
          <w:tcPr>
            <w:tcW w:w="1000" w:type="dxa"/>
            <w:vAlign w:val="bottom"/>
          </w:tcPr>
          <w:p>
            <w:pPr>
              <w:spacing w:after="0"/>
              <w:rPr>
                <w:sz w:val="24"/>
                <w:szCs w:val="24"/>
                <w:color w:val="auto"/>
              </w:rPr>
            </w:pPr>
          </w:p>
        </w:tc>
        <w:tc>
          <w:tcPr>
            <w:tcW w:w="32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46,838,963</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1,718</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359,594</w:t>
            </w:r>
          </w:p>
        </w:tc>
        <w:tc>
          <w:tcPr>
            <w:tcW w:w="3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(315,981</w:t>
            </w:r>
          </w:p>
        </w:tc>
        <w:tc>
          <w:tcPr>
            <w:tcW w:w="320" w:type="dxa"/>
            <w:vAlign w:val="bottom"/>
            <w:vMerge w:val="continue"/>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43,617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-1010920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-736600</wp:posOffset>
            </wp:positionV>
            <wp:extent cx="7132320"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593" w:lineRule="exact"/>
        <w:rPr>
          <w:sz w:val="20"/>
          <w:szCs w:val="20"/>
          <w:color w:val="auto"/>
        </w:rPr>
      </w:pPr>
    </w:p>
    <w:p>
      <w:pPr>
        <w:sectPr>
          <w:pgSz w:w="11900" w:h="16838" w:orient="portrait"/>
          <w:cols w:equalWidth="0" w:num="2">
            <w:col w:w="3520" w:space="360"/>
            <w:col w:w="7320"/>
          </w:cols>
          <w:pgMar w:left="320" w:top="657" w:right="379" w:bottom="1440" w:gutter="0" w:footer="0" w:header="0"/>
          <w:type w:val="continuous"/>
        </w:sectPr>
      </w:pPr>
    </w:p>
    <w:p>
      <w:pPr>
        <w:spacing w:after="0" w:line="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accompanying notes are an integral part of the condensed consolidated financial statements.</w:t>
      </w: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(13,689)</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required to reconcile net loss to net cash used in operating activities:</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20" w:type="dxa"/>
            <w:vAlign w:val="bottom"/>
          </w:tcPr>
          <w:p>
            <w:pPr>
              <w:spacing w:after="0"/>
              <w:rPr>
                <w:sz w:val="18"/>
                <w:szCs w:val="18"/>
                <w:color w:val="auto"/>
              </w:rPr>
            </w:pPr>
          </w:p>
        </w:tc>
        <w:tc>
          <w:tcPr>
            <w:tcW w:w="1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149</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marketable securities, net of interest received</w:t>
            </w:r>
          </w:p>
        </w:tc>
        <w:tc>
          <w:tcPr>
            <w:tcW w:w="10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64</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liability for employees rights upon retirement</w:t>
            </w:r>
          </w:p>
        </w:tc>
        <w:tc>
          <w:tcPr>
            <w:tcW w:w="1020" w:type="dxa"/>
            <w:vAlign w:val="bottom"/>
          </w:tcPr>
          <w:p>
            <w:pPr>
              <w:spacing w:after="0"/>
              <w:rPr>
                <w:sz w:val="18"/>
                <w:szCs w:val="18"/>
                <w:color w:val="auto"/>
              </w:rPr>
            </w:pPr>
          </w:p>
        </w:tc>
        <w:tc>
          <w:tcPr>
            <w:tcW w:w="1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financial expenses (income)</w:t>
            </w:r>
          </w:p>
        </w:tc>
        <w:tc>
          <w:tcPr>
            <w:tcW w:w="10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operating right of use asset and operating leasing liability</w:t>
            </w:r>
          </w:p>
        </w:tc>
        <w:tc>
          <w:tcPr>
            <w:tcW w:w="102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0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2,105</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2,729</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(gains) on amounts funded in respect of employee rights upon retirement, net</w:t>
            </w:r>
          </w:p>
        </w:tc>
        <w:tc>
          <w:tcPr>
            <w:tcW w:w="102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liability items:</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Decrease in prepaid expenses</w:t>
            </w:r>
          </w:p>
        </w:tc>
        <w:tc>
          <w:tcPr>
            <w:tcW w:w="1020" w:type="dxa"/>
            <w:vAlign w:val="bottom"/>
          </w:tcPr>
          <w:p>
            <w:pPr>
              <w:spacing w:after="0"/>
              <w:rPr>
                <w:sz w:val="18"/>
                <w:szCs w:val="18"/>
                <w:color w:val="auto"/>
              </w:rPr>
            </w:pPr>
          </w:p>
        </w:tc>
        <w:tc>
          <w:tcPr>
            <w:tcW w:w="1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96</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 in trade receivables</w:t>
            </w:r>
          </w:p>
        </w:tc>
        <w:tc>
          <w:tcPr>
            <w:tcW w:w="10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(213)</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Decrease (increase) in other receivables</w:t>
            </w:r>
          </w:p>
        </w:tc>
        <w:tc>
          <w:tcPr>
            <w:tcW w:w="102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 decrease in inventory</w:t>
            </w:r>
          </w:p>
        </w:tc>
        <w:tc>
          <w:tcPr>
            <w:tcW w:w="10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360</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7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 in trade payables</w:t>
            </w:r>
          </w:p>
        </w:tc>
        <w:tc>
          <w:tcPr>
            <w:tcW w:w="1020" w:type="dxa"/>
            <w:vAlign w:val="bottom"/>
          </w:tcPr>
          <w:p>
            <w:pPr>
              <w:spacing w:after="0"/>
              <w:rPr>
                <w:sz w:val="18"/>
                <w:szCs w:val="18"/>
                <w:color w:val="auto"/>
              </w:rPr>
            </w:pPr>
          </w:p>
        </w:tc>
        <w:tc>
          <w:tcPr>
            <w:tcW w:w="1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699</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Decrease in other payables</w:t>
            </w:r>
          </w:p>
        </w:tc>
        <w:tc>
          <w:tcPr>
            <w:tcW w:w="10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(1,990)</w:t>
            </w:r>
          </w:p>
        </w:tc>
        <w:tc>
          <w:tcPr>
            <w:tcW w:w="6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09"/>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02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(194)</w:t>
            </w:r>
          </w:p>
        </w:tc>
        <w:tc>
          <w:tcPr>
            <w:tcW w:w="6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10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matured marketable securities</w:t>
            </w:r>
          </w:p>
        </w:tc>
        <w:tc>
          <w:tcPr>
            <w:tcW w:w="1020" w:type="dxa"/>
            <w:vAlign w:val="bottom"/>
          </w:tcPr>
          <w:p>
            <w:pPr>
              <w:spacing w:after="0"/>
              <w:rPr>
                <w:sz w:val="18"/>
                <w:szCs w:val="18"/>
                <w:color w:val="auto"/>
              </w:rPr>
            </w:pPr>
          </w:p>
        </w:tc>
        <w:tc>
          <w:tcPr>
            <w:tcW w:w="1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15,000</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funded in respect of employee rights upon retirement</w:t>
            </w:r>
          </w:p>
        </w:tc>
        <w:tc>
          <w:tcPr>
            <w:tcW w:w="10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(27)</w:t>
            </w:r>
          </w:p>
        </w:tc>
        <w:tc>
          <w:tcPr>
            <w:tcW w:w="6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32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1020" w:type="dxa"/>
            <w:vAlign w:val="bottom"/>
          </w:tcPr>
          <w:p>
            <w:pPr>
              <w:spacing w:after="0"/>
              <w:rPr>
                <w:sz w:val="19"/>
                <w:szCs w:val="19"/>
                <w:color w:val="auto"/>
              </w:rPr>
            </w:pPr>
          </w:p>
        </w:tc>
        <w:tc>
          <w:tcPr>
            <w:tcW w:w="1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BEGINNING OF THE PERIOD</w:t>
            </w:r>
          </w:p>
        </w:tc>
        <w:tc>
          <w:tcPr>
            <w:tcW w:w="1020" w:type="dxa"/>
            <w:vAlign w:val="bottom"/>
          </w:tcPr>
          <w:p>
            <w:pPr>
              <w:spacing w:after="0"/>
              <w:rPr>
                <w:sz w:val="19"/>
                <w:szCs w:val="19"/>
                <w:color w:val="auto"/>
              </w:rPr>
            </w:pPr>
          </w:p>
        </w:tc>
        <w:tc>
          <w:tcPr>
            <w:tcW w:w="1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8,939</w:t>
            </w:r>
          </w:p>
        </w:tc>
        <w:tc>
          <w:tcPr>
            <w:tcW w:w="62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18,916</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END OF THE PERIOD</w:t>
            </w: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 NON-CASH INVESTING AND FINANCING ACTIVITIES:</w:t>
            </w: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Receivable on account of share issuance</w:t>
            </w:r>
          </w:p>
        </w:tc>
        <w:tc>
          <w:tcPr>
            <w:tcW w:w="10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purchase of property and equipment</w:t>
            </w:r>
          </w:p>
        </w:tc>
        <w:tc>
          <w:tcPr>
            <w:tcW w:w="1020" w:type="dxa"/>
            <w:vAlign w:val="bottom"/>
          </w:tcPr>
          <w:p>
            <w:pPr>
              <w:spacing w:after="0"/>
              <w:rPr>
                <w:sz w:val="20"/>
                <w:szCs w:val="20"/>
                <w:color w:val="auto"/>
              </w:rPr>
            </w:pPr>
          </w:p>
        </w:tc>
        <w:tc>
          <w:tcPr>
            <w:tcW w:w="1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tcPr>
          <w:p>
            <w:pPr>
              <w:spacing w:after="0"/>
              <w:rPr>
                <w:sz w:val="20"/>
                <w:szCs w:val="20"/>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InspireMD, Inc., a Delaware corporation (the “Company”), together with its subsidiaries in Israel and Germany, is a medical device company specializing in the development and commercialization of products for the treatment of carotid artery disease and other vascular conditions. The Company’s portfolio includes two commercial products based on its proprietary CGuard™ carotid stent technology, designed to provide market-leading embolic protection during and after stenting procedures. A stent is an expandable scaffold-like metallic device placed in an artery to widen the lumen and restore blood flow.</w:t>
      </w:r>
    </w:p>
    <w:p>
      <w:pPr>
        <w:spacing w:after="0" w:line="183"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first product, the CGuard™ Carotid Embolic Prevention System (“CGuard EPS”), integrates a self-expanding nitinol stent with a MicroNet™ mesh sleeve as a single device for carotid artery revascularization. The Company has received CE Mark recertification for CGuard EPS under the EU Medical Device Regulation (“MDR”). The Company’s CGuard EPS previously held CE Mark approval under the former Medical Device Directive (“MDD”). CGuard EPS is marketed in over 30 countries outside the United States, mainly in Europe, through a network of distributors.</w:t>
      </w:r>
    </w:p>
    <w:p>
      <w:pPr>
        <w:spacing w:after="0" w:line="183"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second product, the CGuard™ Prime Carotid Stent System (“CGuard Prime”), uses the same stent and MicroNet mesh with a differentiated deployment mechanism. CGuard Prime received premarket approval (“PMA”) by the U.S. Food and Drug Administration (“FDA”) on June 23, 2025, and is marketed exclusively in the United States through the Company’s direct salesforce. It also received MDR CE Mark approval on June 12, 2025.</w:t>
      </w:r>
    </w:p>
    <w:p>
      <w:pPr>
        <w:spacing w:after="0" w:line="17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 to March 31, 2026, the Company announced a voluntary recall in the U.S. for its CGuard® Prime 135 cm carotid stent delivery system, initiated in consultation with the FDA. The Company acted after determining during a controlled launch that the technical success of the delivery system during carotid artery stenting procedures had not met performance expectations. The voluntary action pertained specifically to the CGuard Prime delivery system and did not include the CGuard stent implant. The action was strictly voluntary with no implications to the safety of patients who have previously undergone the procedure to implant a CGuard Prime stent.</w:t>
      </w:r>
    </w:p>
    <w:p>
      <w:pPr>
        <w:spacing w:after="0" w:line="183"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recall, the Company estimates that the reserves to be recognized are approximately $700,000 for customer returns and approximately $650,000 for inventory impairment and remediation costs.</w:t>
      </w:r>
    </w:p>
    <w:p>
      <w:pPr>
        <w:spacing w:after="0" w:line="15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an accumulated deficit as of March 31, 2026, as well as a history of net losses and negative operating cash flows. The Company expects to continue incurring losses and negative cash flows from operations until the Company expands its commercial revenue to a scale that funds its commercial resources, development activities and support functions. As a result of these expected losses and negative cash flows from operations, along with the Company’s current cash position, the Company does not have sufficient resources to fund operations for at least the next 12 months. Therefore, there is substantial doubt about the Company’s ability to continue as a going concern. These financial statements have been prepared assuming that the Company will continue as a going concern and do not include any adjustments that might result from the outcome of this uncertainty.</w:t>
      </w:r>
    </w:p>
    <w:p>
      <w:pPr>
        <w:spacing w:after="0" w:line="188"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Management’s plans include the continued commercialization of the Company’s products and raising capital through the sale of additional equity securities, debt or capital inflows from strategic partnerships and exercises of warrants. There are no assurances, however, that the Company will be successful in obtaining the level of financing needed for its operations. If the Company is unsuccessful in commercializing its products and raising capital, it may need to reduce activities, curtail or cease operations.</w:t>
      </w:r>
    </w:p>
    <w:p>
      <w:pPr>
        <w:spacing w:after="0" w:line="202"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Related to the Company’s Operations in Israel</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7, 2023, Hamas launched a series of attacks on civilian and military targets in Southern Israel and Central Israel, to which the Israel Defense Forces responded. In addition, Iran, Hezbollah and the Houthi movement attacked military and civilian targets in Israel, to which Israel responded, including through increased air and/or ground operations in Lebanon, Syria, Yemen and Iran. Following years of conflict in the region, on October 9, 2025, Israel, Hamas, the United States and other countries in the region agreed to a framework for a ceasefire in Gaza between Israel and Hamas. On February 28, 2026, the United States and Israel launched joint combat operations in Iran to which Iran and Hezbollah responded with ballistic missile and drone attacks on Israel as well as other countries and U.S. military bases in the region. On April 8, 2026, the United States and Iran agreed to a two-week ceasefire. How long and how severe the current conflicts in Gaza, Northern Israel, Lebanon, Iran or the broader region last and become is unknown at this time and any continued clash among Israel, Hamas, Hezbollah, Iran or other countries or militant groups in the region may escalate in the future into a greater regional conflict. The intensity and duration of the security situation in Israel have been difficult to predict, as are the economic implications on our business and operations and on Israel’s economy in general. As of the date of these consolidated financial statements, conflict continues in parts of the region. The Company’s current manufacturing facility, certain of its key personnel and one of its offices are located in Israel. At this time, these activities remain largely unaffected.</w:t>
      </w:r>
    </w:p>
    <w:p>
      <w:pPr>
        <w:spacing w:after="0" w:line="187"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impact of this war on the Company’s results of operations and financial condition was immaterial, but such impact may increase, which could be material, as a result of the continuation, escalation or expansion of such war.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69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229"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the same basis as the annual consolidated financial statements. In the opinion of the Company, the financial statements reflect all adjustments, which include only normal recurring adjustments, necessary for a fair statement of its financial position as of March 31, 2026, and its results of operations, changes in equity and cash flows for the three months ended March 31, 2026, and 2025. These unaudited condensed consolidated financial statements and notes thereto are unaudited and should be read in conjunction with the Company’s audited financial statements for the year ended December 31, 2025, as found in the Company’s Annual Report on Form 10-K, filed with the Securities and Exchange Commission on March 18, 2026. The results of operations for the three months ended March 31, 2026, are not necessarily indicative of results that could be expected for the entire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RECENTLY ADOPTED AND ISSUED ACCOUNTING PRONOUNCEMENTS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 not yet adopted</w:t>
      </w:r>
    </w:p>
    <w:p>
      <w:pPr>
        <w:spacing w:after="0" w:line="229" w:lineRule="exact"/>
        <w:rPr>
          <w:sz w:val="20"/>
          <w:szCs w:val="20"/>
          <w:color w:val="auto"/>
        </w:rPr>
      </w:pPr>
    </w:p>
    <w:p>
      <w:pPr>
        <w:jc w:val="both"/>
        <w:ind w:left="2280" w:hanging="328"/>
        <w:spacing w:after="0" w:line="254" w:lineRule="auto"/>
        <w:tabs>
          <w:tab w:leader="none" w:pos="2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The ASU improves the disclosures about a public business entity’s expense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sales, G&amp;A, S&amp;M and research and development) as well as disclosures about selling expenses. The ASU is effective for fiscal years beginning after December 15, 2026, and interim periods within fiscal years beginning after December 15, 2027. Early adoption is permitted. The Company is currently evaluating this ASU to determine its impact on the Company’s consolidated financial statements and disclosures.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Fair value is based on the price that would be received from the sale of an asset or that would be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225"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Company’s financial assets subject to fair value measurements on a recurring basis and the level of inputs used in such measurements were as follows:</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6"/>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2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19"/>
                <w:szCs w:val="19"/>
                <w:color w:val="auto"/>
              </w:rPr>
            </w:pP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29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7,949</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7,949</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30,208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30,208</w:t>
            </w:r>
          </w:p>
        </w:tc>
        <w:tc>
          <w:tcPr>
            <w:tcW w:w="26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0"/>
        </w:trPr>
        <w:tc>
          <w:tcPr>
            <w:tcW w:w="2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0"/>
        </w:trPr>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6"/>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As of December 31, 2025</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2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19"/>
                <w:szCs w:val="19"/>
                <w:color w:val="auto"/>
              </w:rPr>
            </w:pP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gridSpan w:val="2"/>
          </w:tcPr>
          <w:p>
            <w:pPr>
              <w:spacing w:after="0"/>
              <w:rPr>
                <w:sz w:val="19"/>
                <w:szCs w:val="19"/>
                <w:color w:val="auto"/>
              </w:rPr>
            </w:pPr>
          </w:p>
        </w:tc>
      </w:tr>
      <w:tr>
        <w:trPr>
          <w:trHeight w:val="210"/>
        </w:trPr>
        <w:tc>
          <w:tcPr>
            <w:tcW w:w="29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5,116</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5,116</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6"/>
        </w:trPr>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45,272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45,272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0"/>
        </w:trPr>
        <w:tc>
          <w:tcPr>
            <w:tcW w:w="2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The Company’s cash equivalents and marketable securities are classified within Level 1 and Level 2 because it uses quoted market prices or alternative pricing sources and models utilizing market observable inputs to determine their fair value.</w:t>
      </w:r>
    </w:p>
    <w:p>
      <w:pPr>
        <w:spacing w:after="0" w:line="16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cost of marketable securities as of March 31, 2026, and December 31,2025 is $30,227 and $45,091 thousand, respectively.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5 - MARKETABLE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all of the Company’s marketable securities had contractual maturities of less than one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a summary of the changes in the fair value of the Company’s marketable securities for the three-month periods ended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March 31, 2026, and 2025:</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5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5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45,272</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15,721</w:t>
            </w: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6,909</w:t>
            </w: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during the period</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shd w:val="clear" w:color="auto" w:fill="CCEEFF"/>
          </w:tcPr>
          <w:p>
            <w:pPr>
              <w:spacing w:after="0"/>
              <w:rPr>
                <w:sz w:val="19"/>
                <w:szCs w:val="19"/>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2026, the Company had 155,000,000 authorized shares of capital stock, par value $0.0001 per share, of which 150,000,000 are shares of common stock and 5,000,000 are shares of “blank check” preferred stock.</w:t>
      </w:r>
    </w:p>
    <w:p>
      <w:pPr>
        <w:spacing w:after="0" w:line="15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Stock</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2026, there were 1,718 shares of Series C preferred stock outstanding, convertible into an aggregate of 7,952 shares of the Company’s common stock, with a total stated value of $10,997.</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ind w:left="800" w:hanging="324"/>
        <w:spacing w:after="0"/>
        <w:tabs>
          <w:tab w:leader="none" w:pos="8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Pre-Funded Warrants</w:t>
      </w:r>
    </w:p>
    <w:p>
      <w:pPr>
        <w:spacing w:after="0" w:line="229"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2026, there are 43,092,107 outstanding pre-funded warrants.</w:t>
      </w:r>
    </w:p>
    <w:p>
      <w:pPr>
        <w:spacing w:after="0" w:line="221" w:lineRule="exact"/>
        <w:rPr>
          <w:rFonts w:ascii="Times New Roman" w:cs="Times New Roman" w:eastAsia="Times New Roman" w:hAnsi="Times New Roman"/>
          <w:sz w:val="18"/>
          <w:szCs w:val="18"/>
          <w:b w:val="1"/>
          <w:bCs w:val="1"/>
          <w:color w:val="auto"/>
        </w:rPr>
      </w:pPr>
    </w:p>
    <w:p>
      <w:pPr>
        <w:ind w:left="800" w:hanging="324"/>
        <w:spacing w:after="0"/>
        <w:tabs>
          <w:tab w:leader="none" w:pos="8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9"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2026, the Company has outstanding warrants to purchase an aggregate of 25,828,164 shares of common stock as follows:</w:t>
      </w:r>
    </w:p>
    <w:p>
      <w:pPr>
        <w:spacing w:after="0" w:line="225"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Number of</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underlying</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Common stock</w:t>
            </w: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Exercise price</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Expiration date</w:t>
            </w: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J Warrants</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12,914,086</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Series K Warrants</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12,914,078</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1.3827</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Warrants</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25,828,164</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180" w:hanging="172"/>
        <w:spacing w:after="0" w:line="256"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J Warrants and Series K Warrants have a term of the earlier of (i) May 15, 2028 and (ii) (A) in the case of the Series J Warrants, 20 trading days following the Company’s announcement of receipt of FDA approval for the SwitchGuard and CGuard Prime 80 cm and (B) in the case on the Series K Warrants, 20 trading days following the end of the fourth fiscal quarter after the fiscal quarter in which the first commercial sales of CGuard Prime in the U.S. begins. Following the commencement of the first commercial sales of CGuard Prime in the United States, which occurred during the third fiscal quarter of 2025 in July 2025, the Series K Warrants are scheduled to expire twenty (20) trading days after the end of the fourth fiscal quarter thereafter, which is October 28, 2026.</w:t>
      </w:r>
    </w:p>
    <w:p>
      <w:pPr>
        <w:spacing w:after="0" w:line="200" w:lineRule="exact"/>
        <w:rPr>
          <w:sz w:val="20"/>
          <w:szCs w:val="20"/>
          <w:color w:val="auto"/>
        </w:rPr>
      </w:pPr>
    </w:p>
    <w:p>
      <w:pPr>
        <w:spacing w:after="0" w:line="3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the three months ended March 31, 2026, a total of 1,092,344 Series G warrants expired unexercised.</w:t>
      </w:r>
    </w:p>
    <w:p>
      <w:pPr>
        <w:spacing w:after="0" w:line="221" w:lineRule="exact"/>
        <w:rPr>
          <w:sz w:val="20"/>
          <w:szCs w:val="20"/>
          <w:color w:val="auto"/>
        </w:rPr>
      </w:pPr>
    </w:p>
    <w:p>
      <w:pPr>
        <w:ind w:left="800" w:hanging="324"/>
        <w:spacing w:after="0"/>
        <w:tabs>
          <w:tab w:leader="none" w:pos="8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8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months ended March 31, 2026, the Company granted 3,583,055 restricted shares of the Company’s common stock to employees and directors. The shares granted to employees are subject to a three-year vesting period, with one-third of such awards vesting each year, subject to continued service. The shares granted to directors are subject to a one-year vesting period, subject to continued service.</w:t>
      </w:r>
    </w:p>
    <w:p>
      <w:pPr>
        <w:spacing w:after="0" w:line="175"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the above restricted shares was approximately $5.7 million.</w:t>
      </w:r>
    </w:p>
    <w:p>
      <w:pPr>
        <w:spacing w:after="0" w:line="225" w:lineRule="exact"/>
        <w:rPr>
          <w:rFonts w:ascii="Times New Roman" w:cs="Times New Roman" w:eastAsia="Times New Roman" w:hAnsi="Times New Roman"/>
          <w:sz w:val="18"/>
          <w:szCs w:val="18"/>
          <w:b w:val="1"/>
          <w:bCs w:val="1"/>
          <w:color w:val="auto"/>
        </w:rPr>
      </w:pPr>
    </w:p>
    <w:p>
      <w:pPr>
        <w:jc w:val="both"/>
        <w:ind w:left="8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months ended March 31, 2026, the Company granted 1,114,792 restricted stock units convertible into shares of the Company’s common stock to the Company’s chief executive officer. The restricted stock units are subject to a three-year vesting period, with one-third of such awards vesting each year, subject to continued service.</w:t>
      </w:r>
    </w:p>
    <w:p>
      <w:pPr>
        <w:spacing w:after="0" w:line="175"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the above restricted share units was approximately $1.8 million.</w:t>
      </w: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500" w:top="46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7 – RELATED PARTIES TRANSACTIONS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administrative services provided by a member of the chief executive officer’s immediate family in connection with the Company’s expansion to the U.S. amounted to $24 thousand. The engagement with the related party was terminated in July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NET LOSS PER SHARE:</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Basic and diluted net loss per share is computed by dividing the net loss for the period by the weighted average number of shares of common stock, pre-funded warrants and fully vested restricted stock units outstanding during the period. The calculation of diluted net loss per share excludes the effect of potential dilution of share options, warrants, and unvested restricted stocks, unvested restricted stock units and Series C preferred stock as the effect is anti-dilutive.</w:t>
      </w:r>
    </w:p>
    <w:p>
      <w:pPr>
        <w:spacing w:after="0" w:line="180" w:lineRule="exact"/>
        <w:rPr>
          <w:sz w:val="20"/>
          <w:szCs w:val="20"/>
          <w:color w:val="auto"/>
        </w:rPr>
      </w:pPr>
    </w:p>
    <w:p>
      <w:pPr>
        <w:jc w:val="both"/>
        <w:ind w:left="980" w:right="20"/>
        <w:spacing w:after="0" w:line="266" w:lineRule="auto"/>
        <w:rPr>
          <w:sz w:val="20"/>
          <w:szCs w:val="20"/>
          <w:color w:val="auto"/>
        </w:rPr>
      </w:pPr>
      <w:r>
        <w:rPr>
          <w:rFonts w:ascii="Times New Roman" w:cs="Times New Roman" w:eastAsia="Times New Roman" w:hAnsi="Times New Roman"/>
          <w:sz w:val="18"/>
          <w:szCs w:val="18"/>
          <w:color w:val="auto"/>
        </w:rPr>
        <w:t>For the purpose of calculating basic net loss per share, the additional shares of common stock that are issuable upon exercise of the pre-funded warrants have been included since the shares are issuable for a negligible consideration, as determined by the Company according to ASC 260-10-45-13, and have no vesting or other contingencies associated with them.</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total number of shares of common stock related to outstanding options, warrants, unvested restricted stock, unvested restricted stock units and Series C preferred stock, which were excluded from the calculations of diluted loss per share were 39,285,493 shares and 52,233,293 shares for the three-month period ended March 31, 2026 and 2025, respectively. This amount includes unvested restricted stock included in the number of issued and outstanding shares in the amounts of 7,315,673 and 5,671,612 as of March 31, 2026, and 2025, respectively.</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weighted average number of common stock used in computing net loss per share - basic and diluted was as follows:</w:t>
      </w:r>
    </w:p>
    <w:p>
      <w:pPr>
        <w:sectPr>
          <w:pgSz w:w="11900" w:h="16838" w:orient="portrait"/>
          <w:cols w:equalWidth="0" w:num="1">
            <w:col w:w="11240"/>
          </w:cols>
          <w:pgMar w:left="320" w:top="684" w:right="339" w:bottom="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Weighted average number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-127635</wp:posOffset>
            </wp:positionV>
            <wp:extent cx="641223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Weighted average Vested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5715</wp:posOffset>
            </wp:positionV>
            <wp:extent cx="641223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auto"/>
        </w:rPr>
        <w:t>Weighted average Pre-funded Warrants</w:t>
      </w:r>
    </w:p>
    <w:p>
      <w:pPr>
        <w:spacing w:after="0" w:line="9" w:lineRule="exact"/>
        <w:rPr>
          <w:sz w:val="20"/>
          <w:szCs w:val="20"/>
          <w:color w:val="auto"/>
        </w:rPr>
      </w:pPr>
    </w:p>
    <w:p>
      <w:pPr>
        <w:ind w:left="980"/>
        <w:spacing w:after="0" w:line="276" w:lineRule="auto"/>
        <w:rPr>
          <w:sz w:val="20"/>
          <w:szCs w:val="20"/>
          <w:color w:val="auto"/>
        </w:rPr>
      </w:pPr>
      <w:r>
        <w:rPr>
          <w:rFonts w:ascii="Times New Roman" w:cs="Times New Roman" w:eastAsia="Times New Roman" w:hAnsi="Times New Roman"/>
          <w:sz w:val="18"/>
          <w:szCs w:val="18"/>
          <w:color w:val="auto"/>
        </w:rPr>
        <w:t>Total Weighted average number of common stock used in computing net loss per share - basic and diluted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FINANCIAL INSTRUMENTS:</w:t>
      </w:r>
    </w:p>
    <w:p>
      <w:pPr>
        <w:spacing w:after="0" w:line="22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top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r>
      <w:tr>
        <w:trPr>
          <w:trHeight w:val="191"/>
        </w:trPr>
        <w:tc>
          <w:tcPr>
            <w:tcW w:w="15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39,282,766</w:t>
            </w:r>
          </w:p>
        </w:tc>
        <w:tc>
          <w:tcPr>
            <w:tcW w:w="300" w:type="dxa"/>
            <w:vAlign w:val="bottom"/>
          </w:tcPr>
          <w:p>
            <w:pPr>
              <w:spacing w:after="0"/>
              <w:rPr>
                <w:sz w:val="16"/>
                <w:szCs w:val="16"/>
                <w:color w:val="auto"/>
              </w:rPr>
            </w:pPr>
          </w:p>
        </w:tc>
        <w:tc>
          <w:tcPr>
            <w:tcW w:w="15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23,521,534</w:t>
            </w:r>
          </w:p>
        </w:tc>
        <w:tc>
          <w:tcPr>
            <w:tcW w:w="20" w:type="dxa"/>
            <w:vAlign w:val="bottom"/>
          </w:tcPr>
          <w:p>
            <w:pPr>
              <w:spacing w:after="0"/>
              <w:rPr>
                <w:sz w:val="16"/>
                <w:szCs w:val="16"/>
                <w:color w:val="auto"/>
              </w:rPr>
            </w:pPr>
          </w:p>
        </w:tc>
      </w:tr>
      <w:tr>
        <w:trPr>
          <w:trHeight w:val="230"/>
        </w:trPr>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1,426,966</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725,292</w:t>
            </w:r>
          </w:p>
        </w:tc>
      </w:tr>
      <w:tr>
        <w:trPr>
          <w:trHeight w:val="234"/>
        </w:trPr>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43,092,107</w:t>
            </w:r>
          </w:p>
        </w:tc>
        <w:tc>
          <w:tcPr>
            <w:tcW w:w="300" w:type="dxa"/>
            <w:vAlign w:val="bottom"/>
          </w:tcPr>
          <w:p>
            <w:pPr>
              <w:spacing w:after="0"/>
              <w:rPr>
                <w:sz w:val="20"/>
                <w:szCs w:val="20"/>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25,746,683</w:t>
            </w:r>
          </w:p>
        </w:tc>
      </w:tr>
      <w:tr>
        <w:trPr>
          <w:trHeight w:val="439"/>
        </w:trPr>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83,801,839</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49,993,509</w:t>
            </w:r>
          </w:p>
        </w:tc>
      </w:tr>
      <w:tr>
        <w:trPr>
          <w:trHeight w:val="20"/>
        </w:trPr>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032" w:lineRule="exact"/>
        <w:rPr>
          <w:sz w:val="20"/>
          <w:szCs w:val="20"/>
          <w:color w:val="auto"/>
        </w:rPr>
      </w:pPr>
    </w:p>
    <w:p>
      <w:pPr>
        <w:sectPr>
          <w:pgSz w:w="11900" w:h="16838" w:orient="portrait"/>
          <w:cols w:equalWidth="0" w:num="2">
            <w:col w:w="7340" w:space="300"/>
            <w:col w:w="3600"/>
          </w:cols>
          <w:pgMar w:left="320" w:top="684" w:right="339" w:bottom="69" w:gutter="0" w:footer="0" w:header="0"/>
          <w:type w:val="continuous"/>
        </w:sectPr>
      </w:pPr>
    </w:p>
    <w:p>
      <w:pPr>
        <w:spacing w:after="0" w:line="2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carrying amounts of accounts payable, accounts receivable and other receivables approximate their fair values due to the short-term maturities of these instruments.</w:t>
      </w:r>
    </w:p>
    <w:p>
      <w:pPr>
        <w:spacing w:after="0" w:line="16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carrying amount of the long-term deposit approximates its fair value since it is measured at its present value applying prevailing interest rates.</w:t>
      </w:r>
    </w:p>
    <w:p>
      <w:pPr>
        <w:spacing w:after="0" w:line="162"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2026, and December 31, 2025, the allowance for expected credit loss was immaterial.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 INVENTORY:</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6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6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80" w:type="dxa"/>
            <w:vAlign w:val="bottom"/>
            <w:tcBorders>
              <w:bottom w:val="single" w:sz="8" w:color="CCEEFF"/>
            </w:tcBorders>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930</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2,114</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11 - ACCOUNTS PAYABLE AND ACCRUALS - OTHER:</w:t>
            </w:r>
          </w:p>
        </w:tc>
        <w:tc>
          <w:tcPr>
            <w:tcW w:w="1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8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80" w:type="dxa"/>
            <w:vAlign w:val="bottom"/>
            <w:tcBorders>
              <w:bottom w:val="single" w:sz="8" w:color="CCEEFF"/>
            </w:tcBorders>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and employee institutions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8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Accrued vacation and recreation pay</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430</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1,545</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accrual</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1,155</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1,066</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336</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6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896"/>
              <w:spacing w:after="0"/>
              <w:rPr>
                <w:sz w:val="20"/>
                <w:szCs w:val="20"/>
                <w:color w:val="auto"/>
              </w:rPr>
            </w:pPr>
            <w:r>
              <w:rPr>
                <w:rFonts w:ascii="Times New Roman" w:cs="Times New Roman" w:eastAsia="Times New Roman" w:hAnsi="Times New Roman"/>
                <w:sz w:val="18"/>
                <w:szCs w:val="18"/>
                <w:color w:val="auto"/>
              </w:rPr>
              <w:t>F-13</w:t>
            </w: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69"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12 - DISAGGREGATED REVENUE AND ENTITY WIDE DISCLOSURES: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Revenues are attributed to geographic areas based on the location of the customers. The following is a summary of revenues: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304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38"/>
        </w:trPr>
        <w:tc>
          <w:tcPr>
            <w:tcW w:w="5940" w:type="dxa"/>
            <w:vAlign w:val="bottom"/>
          </w:tcPr>
          <w:p>
            <w:pPr>
              <w:spacing w:after="0"/>
              <w:rPr>
                <w:sz w:val="20"/>
                <w:szCs w:val="20"/>
                <w:color w:val="auto"/>
              </w:rPr>
            </w:pPr>
          </w:p>
        </w:tc>
        <w:tc>
          <w:tcPr>
            <w:tcW w:w="2100" w:type="dxa"/>
            <w:vAlign w:val="bottom"/>
            <w:tcBorders>
              <w:bottom w:val="single" w:sz="8" w:color="auto"/>
            </w:tcBorders>
            <w:gridSpan w:val="4"/>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594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1,178</w:t>
            </w:r>
          </w:p>
        </w:tc>
        <w:tc>
          <w:tcPr>
            <w:tcW w:w="50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c>
          <w:tcPr>
            <w:tcW w:w="60" w:type="dxa"/>
            <w:vAlign w:val="bottom"/>
          </w:tcPr>
          <w:p>
            <w:pPr>
              <w:spacing w:after="0"/>
              <w:rPr>
                <w:sz w:val="18"/>
                <w:szCs w:val="18"/>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1,310</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772</w:t>
            </w:r>
          </w:p>
        </w:tc>
        <w:tc>
          <w:tcPr>
            <w:tcW w:w="60" w:type="dxa"/>
            <w:vAlign w:val="bottom"/>
            <w:shd w:val="clear" w:color="auto" w:fill="CCEEFF"/>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right="4540" w:hanging="792"/>
        <w:spacing w:after="0" w:line="561" w:lineRule="auto"/>
        <w:tabs>
          <w:tab w:leader="none" w:pos="3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countries don’t exceed 10% in the three months ended March 31, 2026, and 2025. By principal customers (part of revenues):</w:t>
      </w:r>
    </w:p>
    <w:p>
      <w:pPr>
        <w:jc w:val="center"/>
        <w:ind w:left="53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0" w:type="dxa"/>
            <w:vAlign w:val="bottom"/>
          </w:tcPr>
          <w:p>
            <w:pPr>
              <w:spacing w:after="0"/>
              <w:rPr>
                <w:sz w:val="19"/>
                <w:szCs w:val="19"/>
                <w:color w:val="auto"/>
              </w:rPr>
            </w:pPr>
          </w:p>
        </w:tc>
        <w:tc>
          <w:tcPr>
            <w:tcW w:w="584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1280" w:type="dxa"/>
            <w:vAlign w:val="bottom"/>
          </w:tcPr>
          <w:p>
            <w:pPr>
              <w:spacing w:after="0"/>
              <w:rPr>
                <w:sz w:val="19"/>
                <w:szCs w:val="19"/>
                <w:color w:val="auto"/>
              </w:rPr>
            </w:pPr>
          </w:p>
        </w:tc>
      </w:tr>
      <w:tr>
        <w:trPr>
          <w:trHeight w:val="209"/>
        </w:trPr>
        <w:tc>
          <w:tcPr>
            <w:tcW w:w="98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28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280" w:type="dxa"/>
            <w:vAlign w:val="bottom"/>
          </w:tcPr>
          <w:p>
            <w:pPr>
              <w:spacing w:after="0"/>
              <w:rPr>
                <w:sz w:val="20"/>
                <w:szCs w:val="20"/>
                <w:color w:val="auto"/>
              </w:rPr>
            </w:pPr>
          </w:p>
        </w:tc>
      </w:tr>
      <w:tr>
        <w:trPr>
          <w:trHeight w:val="414"/>
        </w:trPr>
        <w:tc>
          <w:tcPr>
            <w:tcW w:w="98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gridSpan w:val="2"/>
          </w:tcPr>
          <w:p>
            <w:pPr>
              <w:ind w:left="4480"/>
              <w:spacing w:after="0"/>
              <w:rPr>
                <w:sz w:val="20"/>
                <w:szCs w:val="20"/>
                <w:color w:val="auto"/>
              </w:rPr>
            </w:pPr>
            <w:r>
              <w:rPr>
                <w:rFonts w:ascii="Times New Roman" w:cs="Times New Roman" w:eastAsia="Times New Roman" w:hAnsi="Times New Roman"/>
                <w:sz w:val="18"/>
                <w:szCs w:val="18"/>
                <w:color w:val="auto"/>
              </w:rPr>
              <w:t>F-14</w:t>
            </w: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13 – SEGMENT INFORMATION</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has one operating and reporting segment, that develops, manufactures and markets products for the treatment of carotid artery disease and other vascular disease, including the Company’s proprietary CGuard™ stent platform. The Company’s Chief Operating Decision Maker (“CODM”), who is the chief executive officer, evaluates the Company’s performance based on its internal reporting which is consistent with the presentation in the Company’s consolidated financial statements. Accordingly, our CODM uses consolidated net loss to measure segment profit or loss, allocate resources, and assess performance.</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CODM examines, within each operational function, the employee salaries including the bonus and share based compensation. In addition, the CODM examines the clinical trials expenses within the research and development operations.</w:t>
      </w:r>
    </w:p>
    <w:p>
      <w:pPr>
        <w:spacing w:after="0" w:line="171"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0" w:type="dxa"/>
            <w:vAlign w:val="bottom"/>
          </w:tcPr>
          <w:p>
            <w:pPr>
              <w:spacing w:after="0"/>
              <w:rPr>
                <w:sz w:val="19"/>
                <w:szCs w:val="19"/>
                <w:color w:val="auto"/>
              </w:rPr>
            </w:pPr>
          </w:p>
        </w:tc>
        <w:tc>
          <w:tcPr>
            <w:tcW w:w="660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280" w:type="dxa"/>
            <w:vAlign w:val="bottom"/>
          </w:tcPr>
          <w:p>
            <w:pPr>
              <w:spacing w:after="0"/>
              <w:rPr>
                <w:sz w:val="19"/>
                <w:szCs w:val="19"/>
                <w:color w:val="auto"/>
              </w:rPr>
            </w:pPr>
          </w:p>
        </w:tc>
      </w:tr>
      <w:tr>
        <w:trPr>
          <w:trHeight w:val="209"/>
        </w:trPr>
        <w:tc>
          <w:tcPr>
            <w:tcW w:w="9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3,398</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1,529</w:t>
            </w:r>
          </w:p>
        </w:tc>
        <w:tc>
          <w:tcPr>
            <w:tcW w:w="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and Labor</w:t>
            </w:r>
          </w:p>
        </w:tc>
        <w:tc>
          <w:tcPr>
            <w:tcW w:w="8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1,691</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1,025</w:t>
            </w:r>
          </w:p>
        </w:tc>
        <w:tc>
          <w:tcPr>
            <w:tcW w:w="280" w:type="dxa"/>
            <w:vAlign w:val="bottom"/>
          </w:tcPr>
          <w:p>
            <w:pPr>
              <w:spacing w:after="0"/>
              <w:rPr>
                <w:sz w:val="18"/>
                <w:szCs w:val="18"/>
                <w:color w:val="auto"/>
              </w:rPr>
            </w:pPr>
          </w:p>
        </w:tc>
      </w:tr>
      <w:tr>
        <w:trPr>
          <w:trHeight w:val="229"/>
        </w:trPr>
        <w:tc>
          <w:tcPr>
            <w:tcW w:w="980" w:type="dxa"/>
            <w:vAlign w:val="bottom"/>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 of revenues</w:t>
            </w:r>
          </w:p>
        </w:tc>
        <w:tc>
          <w:tcPr>
            <w:tcW w:w="8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1,020</w:t>
            </w:r>
          </w:p>
        </w:tc>
        <w:tc>
          <w:tcPr>
            <w:tcW w:w="1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212</w:t>
            </w:r>
          </w:p>
        </w:tc>
        <w:tc>
          <w:tcPr>
            <w:tcW w:w="280" w:type="dxa"/>
            <w:vAlign w:val="bottom"/>
          </w:tcPr>
          <w:p>
            <w:pPr>
              <w:spacing w:after="0"/>
              <w:rPr>
                <w:sz w:val="19"/>
                <w:szCs w:val="19"/>
                <w:color w:val="auto"/>
              </w:rPr>
            </w:pPr>
          </w:p>
        </w:tc>
      </w:tr>
      <w:tr>
        <w:trPr>
          <w:trHeight w:val="209"/>
        </w:trPr>
        <w:tc>
          <w:tcPr>
            <w:tcW w:w="9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2,711</w:t>
            </w:r>
          </w:p>
        </w:tc>
        <w:tc>
          <w:tcPr>
            <w:tcW w:w="30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(R&amp;D)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Benefits</w:t>
            </w:r>
          </w:p>
        </w:tc>
        <w:tc>
          <w:tcPr>
            <w:tcW w:w="8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1,600</w:t>
            </w:r>
          </w:p>
        </w:tc>
        <w:tc>
          <w:tcPr>
            <w:tcW w:w="1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855</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8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175</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668</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trials</w:t>
            </w:r>
          </w:p>
        </w:tc>
        <w:tc>
          <w:tcPr>
            <w:tcW w:w="8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1,459</w:t>
            </w:r>
          </w:p>
        </w:tc>
        <w:tc>
          <w:tcPr>
            <w:tcW w:w="1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1,160</w:t>
            </w:r>
          </w:p>
        </w:tc>
        <w:tc>
          <w:tcPr>
            <w:tcW w:w="280" w:type="dxa"/>
            <w:vAlign w:val="bottom"/>
          </w:tcPr>
          <w:p>
            <w:pPr>
              <w:spacing w:after="0"/>
              <w:rPr>
                <w:sz w:val="18"/>
                <w:szCs w:val="18"/>
                <w:color w:val="auto"/>
              </w:rPr>
            </w:pPr>
          </w:p>
        </w:tc>
      </w:tr>
      <w:tr>
        <w:trPr>
          <w:trHeight w:val="230"/>
        </w:trPr>
        <w:tc>
          <w:tcPr>
            <w:tcW w:w="98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R&amp;D</w:t>
            </w:r>
          </w:p>
        </w:tc>
        <w:tc>
          <w:tcPr>
            <w:tcW w:w="8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1,529</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1,376</w:t>
            </w:r>
          </w:p>
        </w:tc>
        <w:tc>
          <w:tcPr>
            <w:tcW w:w="280" w:type="dxa"/>
            <w:vAlign w:val="bottom"/>
          </w:tcPr>
          <w:p>
            <w:pPr>
              <w:spacing w:after="0"/>
              <w:rPr>
                <w:sz w:val="19"/>
                <w:szCs w:val="19"/>
                <w:color w:val="auto"/>
              </w:rPr>
            </w:pPr>
          </w:p>
        </w:tc>
      </w:tr>
      <w:tr>
        <w:trPr>
          <w:trHeight w:val="209"/>
        </w:trPr>
        <w:tc>
          <w:tcPr>
            <w:tcW w:w="98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w:t>
            </w: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4,763</w:t>
            </w: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4,059</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Selling and marketing (S&amp;M)</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Payroll and Benefits</w:t>
            </w:r>
          </w:p>
        </w:tc>
        <w:tc>
          <w:tcPr>
            <w:tcW w:w="8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3,863</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1,979</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8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581</w:t>
            </w:r>
          </w:p>
        </w:tc>
        <w:tc>
          <w:tcPr>
            <w:tcW w:w="1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tcPr>
          <w:p>
            <w:pPr>
              <w:spacing w:after="0"/>
              <w:rPr>
                <w:sz w:val="18"/>
                <w:szCs w:val="18"/>
                <w:color w:val="auto"/>
              </w:rPr>
            </w:pPr>
          </w:p>
        </w:tc>
      </w:tr>
      <w:tr>
        <w:trPr>
          <w:trHeight w:val="229"/>
        </w:trPr>
        <w:tc>
          <w:tcPr>
            <w:tcW w:w="98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S&amp;M</w:t>
            </w:r>
          </w:p>
        </w:tc>
        <w:tc>
          <w:tcPr>
            <w:tcW w:w="8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736</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554</w:t>
            </w:r>
          </w:p>
        </w:tc>
        <w:tc>
          <w:tcPr>
            <w:tcW w:w="280" w:type="dxa"/>
            <w:vAlign w:val="bottom"/>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Selling and marketing</w:t>
            </w: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5,180</w:t>
            </w: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2,750</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(G&amp;A)</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Payroll and Benefits</w:t>
            </w:r>
          </w:p>
        </w:tc>
        <w:tc>
          <w:tcPr>
            <w:tcW w:w="8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1,807</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1,676</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8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1,289</w:t>
            </w:r>
          </w:p>
        </w:tc>
        <w:tc>
          <w:tcPr>
            <w:tcW w:w="1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1,779</w:t>
            </w:r>
          </w:p>
        </w:tc>
        <w:tc>
          <w:tcPr>
            <w:tcW w:w="280" w:type="dxa"/>
            <w:vAlign w:val="bottom"/>
          </w:tcPr>
          <w:p>
            <w:pPr>
              <w:spacing w:after="0"/>
              <w:rPr>
                <w:sz w:val="18"/>
                <w:szCs w:val="18"/>
                <w:color w:val="auto"/>
              </w:rPr>
            </w:pPr>
          </w:p>
        </w:tc>
      </w:tr>
      <w:tr>
        <w:trPr>
          <w:trHeight w:val="229"/>
        </w:trPr>
        <w:tc>
          <w:tcPr>
            <w:tcW w:w="98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G&amp;A</w:t>
            </w:r>
          </w:p>
        </w:tc>
        <w:tc>
          <w:tcPr>
            <w:tcW w:w="8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1,626</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1,488</w:t>
            </w:r>
          </w:p>
        </w:tc>
        <w:tc>
          <w:tcPr>
            <w:tcW w:w="280" w:type="dxa"/>
            <w:vAlign w:val="bottom"/>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w:t>
            </w: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4,722</w:t>
            </w: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4,943</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9"/>
        </w:trPr>
        <w:tc>
          <w:tcPr>
            <w:tcW w:w="980" w:type="dxa"/>
            <w:vAlign w:val="bottom"/>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8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289</w:t>
            </w:r>
          </w:p>
        </w:tc>
        <w:tc>
          <w:tcPr>
            <w:tcW w:w="1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294</w:t>
            </w:r>
          </w:p>
        </w:tc>
        <w:tc>
          <w:tcPr>
            <w:tcW w:w="28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(13,689</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3"/>
        </w:trPr>
        <w:tc>
          <w:tcPr>
            <w:tcW w:w="98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gridSpan w:val="2"/>
          </w:tcPr>
          <w:p>
            <w:pPr>
              <w:ind w:left="4480"/>
              <w:spacing w:after="0"/>
              <w:rPr>
                <w:sz w:val="20"/>
                <w:szCs w:val="20"/>
                <w:color w:val="auto"/>
              </w:rPr>
            </w:pPr>
            <w:r>
              <w:rPr>
                <w:rFonts w:ascii="Times New Roman" w:cs="Times New Roman" w:eastAsia="Times New Roman" w:hAnsi="Times New Roman"/>
                <w:sz w:val="18"/>
                <w:szCs w:val="18"/>
                <w:color w:val="auto"/>
              </w:rPr>
              <w:t>F-15</w:t>
            </w: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Form 10-Q to the “Company,” “InspireMD,” “we,” “our” and “us” refer to InspireMD, Inc., a Delaware corporation, and its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which include information relating to future events, future financial performance, strategies, expectations, competitive environment and regulation, including revenue growth. Words such as “may,” “will,” “should,” “could,” “would,” “predicts,” “potential,” “continue,” “expects,” “anticipates,” “future,” “intends,” “plans,” “believes,” “estimates,” and similar expressions, as well as statements in future tense, identify forward-looking statements. Forward-looking statements should not be read as a guarantee of future performance or results and may not be accurate indications of when such performance or results will be achieved. Forward-looking statements are based on information we have when those statements are made or our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92"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recurring losses and negative cash flows from operating activities, significant future commitments and the uncertainty regarding the adequacy of our liquidity to pursue our complete business objectives, and substantial doubt regarding our ability to continue as a going concern;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to meet our business requirements in the future and such capital raising may be costly or difficult to obtain and could dilute our stockholders’ ownership interests;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development, commercialization and market acceptance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clinical trial results for our products will be predictive of real-world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and maintain regulatory approvals for the sale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impact of a product recall, including the current recall in the U.S. regarding the CGuard Prime 135cm Carotid Stent System, on our business, results of operations and financial conditions;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clinical trial results or lengthy product delays in key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Nasdaq listing standards;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significant revenues from our products;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and ability to access sufficient additional financing, including any unexpected costs or delays in the ongoing commercial launch of our products;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single manufacturing facility and our ability to comply with stringent manufacturing quality standards and to increase production as necessary;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data collected from our current and planned clinical trials may not be sufficient to demonstrate that our technology is an attractive alternative to other procedures and products;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ind w:left="328" w:hanging="328"/>
        <w:spacing w:after="0" w:line="282"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our industry, with competitors having substantially greater financial, technological, research and development, regulatory and clinical, manufacturing, marketing and sales, distribution and personnel resources than we do;</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new competitors and products and potential technological obsolescence of our products;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carry out research, development and commercialization plans;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key customer or supplier;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problems with our research and products and potential product liability claims;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malfunctions;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for supplies and components;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access to our products is achieved in a commercially viable manner and whether our products receive adequate reimbursement by governmental and other third-party payers;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successfully obtain and maintain intellectual property protection covering our products, which may not be successful;</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federal, state and local government regulation, in the United States, Europe or Israel and other foreign jurisdictions;</w:t>
      </w:r>
    </w:p>
    <w:p>
      <w:pPr>
        <w:spacing w:after="0" w:line="25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61" w:right="339" w:bottom="1440" w:gutter="0" w:footer="0" w:header="0"/>
        </w:sectPr>
      </w:pPr>
    </w:p>
    <w:bookmarkStart w:id="18" w:name="page19"/>
    <w:bookmarkEnd w:id="18"/>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conduct business in multiple foreign jurisdictions, exposing us to foreign currency exchange rate fluctuations, logistical and communications challenges, burdens and costs of compliance with foreign laws and political and economic instability in each jurisdiction;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political and economic instability in the Middle East that could harm our business, including due to the current security situation in Israel;</w:t>
      </w:r>
    </w:p>
    <w:p>
      <w:pPr>
        <w:spacing w:after="0" w:line="236"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or future unfavorable economic and market conditions and adverse developments with respect to financial institutions and associated liquidity risk;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trade barriers, price and exchange controls and other regulatory requirements and the impact of such policies on us, our customers and suppliers, and the global economic environment.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or risk factors that we are faced with that may cause our actual results to differ from those anticipated in our forward-looking statements. For a discussion of these and other risks that relate to our business and investing in our common stock, you should carefully review the risks and uncertainties described in this Quarterly Report on Form 10-Q, and those described from time to time in our future reports filed with the Securities and Exchange Commission. The forward-looking statements contained in this Quarterly Report on Form 10-Q are expressly qualified in their entirety by this cautionary statement. We do not undertake any obligation to publicly update any forward-looking statement to reflect events or circumstances after the date on which any such statement is made or to reflect the occurrence of unanticipated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medical device company specializing in the development and commercialization of products for the treatment of carotid artery disease and other vascular conditions. Our portfolio includes two commercial products based on our proprietary CGuard carotid stent technology, designed to provide market-leading embolic protection during and after stenting procedures. A stent is an expandable scaffold-like metallic device placed in an artery to widen the lumen and restore blood flow.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first product, the CGuard Carotid Embolic Prevention System (“CGuard EPS”), integrates a self-expanding nitinol stent with a MicroNet mesh sleeve as a single device for carotid artery revascularization. In January 2024, we received CE Mark recertification for CGuard EPS under the EU Medical Device Regulation (“MDR”). Our CGuard EPS previously held CE Mark approval under the former Medical Device Directive (“MDD”). CGuard EPS is marketed in over 30 countries outside the United States through a network of distributors. In the first quarter of 2026, we submitted a premarket approval for the CGuard EPS with a view to potential FDA approval in the in the third quarter of 2026.</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second product, the CGuard Prime Carotid Stent System (“CGuard Prime”), uses the same stent and MicroNet mesh as the CGuard EPS with a differentiated deployment mechanism. CGuard Prime received premarket approval (“PMA”) by the U.S. Food and Drug Administration (“FDA”) on June 23, 2025, and is marketed exclusively in the United States through our direct salesforce. It also received MDR CE Mark approval on June 12, 2025.</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October 2024, the FDA approved the Company’s IDE to initiate the CGUARDIANS II pivotal study of its CGuard Prime 80 cm carotid stent system during transcarotid revascularization (“TCAR”) procedures. In the first quarter of 2026, we completed enrollment in the CGUARDIANS II pivotal study. In May 2026, the FDA approved the Company’s IDE to initiate the CGUARDIANS III pivotal study of its CGuard Prime 80 cm carotid stent system during TCAR procedures.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2023, the Centers for Medicare &amp; Medicaid Services (“CMS”) issued its final National Coverage Determination (“NCD”), expanding coverage for both carotid artery stenting (“CAS”) and TCAR procedures to include both asymptomatic and standard risk patients, significantly expanding and supporting the future growth of the U.S. addressable market for CAS.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2025, the results of the CREST-2 study were released, which showed that CAS combined with medical therapy demonstrated a significantly lower stroke risk as compared to intensive medical management alone in patients with severe asymptomatic carotid stenosis. CREST-2 was an independent study sponsored by the National Institute of Health (NIH) with a set of two parallel, observer-blinded clinical trials across 155 centers globally. CREST-2 showed that, among patients with high-grade carotid stenosis without recent neurological symptoms, the addition of stenting led to significantly better outcomes than intensive medical management alone, as measured by a decreased risk of the composite of perioperative stroke or death or ipsilateral stroke within four years. In a separate arm of the same trial, carotid endarterectomy (“CEA”) did not achieve a significant benefit for these patients as compared to intensive medical management alone.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continue to invest in new product generations and potential new clinical indications for the CGuard platform with a strategy of focusing on advancing a “stent-first” approach to carotid revascularization. As part of this strategy, we are evaluating CGuard Prime in TCAR-based clinical programs, including the CGUARDIANS II pivotal trial, which studies the use of the CGuard Prime 80 cm carotid stent system in conjunction with an established neuroprotection device, and the CGUARDIANS III pivotal trial, which evaluates our proprietary SwitchGuard neuroprotection system (“SwitchGuard NPS”) paired with CGuard Prime to enable flow-reversal neuroprotection during TCAR. In parallel, we are pursuing new clinical applications outside TCAR, including the treatment of acute ischemic stroke with tandem lesions, which is currently being studied in an early feasibility study conducted with the Jacobs Institute. In this acute-stroke setting, the flexible, low-metal-burden design and MicroNet mesh of CGuard Prime may offer advantages where traditional embolic-protection devices cannot be used.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consider our current addressable market for our CGuard EPS, CGuard Prime, and SwitchGuard NPS to be both symptomatic and asymptomatic individuals with diagnosed high-grade carotid artery stenosis for whom intervention is preferable to medical (drug) therapy. This group includes not only patients eligible for either CAS or TCAR procedures, but also individuals who are candidates for CEA, as all three approaches can be options to treat these patients. Assuming full penetration of the intervention caseload, we estimate that the addressable market for CGuard EPS, CGuard Prime, and SwitchGuard NPS is approximately $1.3 billion (source: Health Research International Personal Medical Systems, Inc. September 13, 2021 Results of Update Report on Global Carotid Stenting Procedures and Markets by Major Geography and Addressable Markets and internal estimates). According to this same report and internal estimates, assuming full penetration of treatment for all individuals diagnosed with high-grade carotid artery stenosis, we estimate the total available market for CGuard EPS, CGuard Prime, and SwitchGuard NPS to be approximately $9.3 billion, which may grow over time if expanded treatment options such as our products lead to increased patient screening for carotid artery disease.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2026, we announced a voluntary recall in the U.S. of CGuard Prime, initiated in consultation with the FDA. The Company acted after determining during a controlled launch that the technical success of the delivery system during CAS procedures had not met performance expectations. The voluntary action pertained specifically to the CGuard Prime delivery system and did not include the CGuard stent implant. The action was voluntary with no implications for the safety of patients who had previously received the CGuard stent. The Company expects to establish a reserve for customer returns of approximately $700,000 and a reserve for inventory impairment and remediation costs of approximately $650,000.</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were organized in the State of Delaware on February 29, 2008. In October 2024, we established our global headquarters in Miami, Florida to support the U.S. launch and commercialization of CGuard Prime.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Our critical accounting policies are more fully described in both (i) “Item 7. Management’s Discussion and Analysis of Financial Condition and Results of Operations” and (ii) Note 2 of the Notes to the Consolidated Financial Statements included in the Annual Report on Form 10-K for the year ended December 31, 2025. There have not been any material changes to such critical accounting policies since December 31, 2025.</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currency of the primary economic environment in which our operations are conducted is the U.S. dollar (“$” or “dollar”).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compared to the three months ended March 31, 2025</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For the three months ended March 31, 2026, revenue was $3,398,000, an increase of $1,869,000, or 122 %, compared to $1,529,000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three months ended March 31, 2025. Growth in the quarter was driven mainly by the commercial launch of direct sales of the CGuard Prime product in the U.S. following FDA approval in June 2025, and continued growth in sales of the CGuard product through distributors in international markets.</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geographical regions, the increase in revenue was primarily attributable to a $1,151,000 increase in North America due to the commercial launch of CGuard Prime in the U.S. following FDA approval in June 2025, and a $718,000 increase in international markets outside North America due to continued adoption of our CGuard technology.</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For the three months ended March 31, 2026, gross profit (revenue less cost of revenues) was $687,000 compared to gross profit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$292,000 for the three months ended March 31, 2025. The increase resulted mainly from the increase in revenue year-on-year, partially offset by higher cost of revenues resulting from an impairment charge of $473,000 for inventory obsolescence related to our CGuard Prime delivery system</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margin represents our gross profit as a percentage of our revenue. Gross margin was 20.2% for the three months ended March 31, 2026, an increase of 1.1 percentage points compared to 19.1% for the three months ended March 31, 2025. This increase in gross margin resulted primarily from a more favorable revenue mix driven by direct sales in the U.S., which carry higher margins due to a higher average selling price per unit compared with sales to international distributors. The impact from the favorable sales mix was primarily offset by the impact of the impairment charge for excess and obsolete inventory referenced above.</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For the three months ended March 31, 2026, research and development expenses were $4,763,000,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$704,000, or 17.4%, compared to $4,059,000 during the three months ended March 31, 2025. This increase resulted primarily due to higher staff levels in connection with our expansion in the U.S., an increase in regulatory activities expenses, and higher development and clinical expenses for the SwitchGuard NPS and CGuard Prime 80 cm carotid stent system, respectively. These increases were partially offset by a decrease in expenses for the C-GUARDIANS clinical study and related product preparation activity prior to the FDA approval of CGuard Prime in June 2025.</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Selling and Marketing Expenses</w:t>
      </w:r>
      <w:r>
        <w:rPr>
          <w:rFonts w:ascii="Times New Roman" w:cs="Times New Roman" w:eastAsia="Times New Roman" w:hAnsi="Times New Roman"/>
          <w:sz w:val="18"/>
          <w:szCs w:val="18"/>
          <w:color w:val="auto"/>
        </w:rPr>
        <w:t>. For the three months ended March 31, 2026, selling and marketing expenses were $5,180,000,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$2,430,000, or 88.4%, compared to $2,750,000 during the three months ended March 31, 2025. This increase resulted primarily from higher commercial staffing levels in connection with the commercial launch of CGuard Prime in the U.S.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For the three months ended March 31, 2026, general and administrative expenses were $4,722,000,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$221,000, or 4.5%, compared to $4,943,000 during the three months ended March 31, 2025. The decrease was primarily driven by a reduction in share-based compensation expense resulting from forfeitures associated with executive employees who departed during the period.</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Financial Income</w:t>
      </w:r>
      <w:r>
        <w:rPr>
          <w:rFonts w:ascii="Times New Roman" w:cs="Times New Roman" w:eastAsia="Times New Roman" w:hAnsi="Times New Roman"/>
          <w:sz w:val="18"/>
          <w:szCs w:val="18"/>
          <w:color w:val="auto"/>
        </w:rPr>
        <w:t>. For the three months ended March 31, 2026, financial income was $289,000, a decrease of $5,000 or 1.7%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$294,000 during the three months ended March 31, 2025.</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Tax Expenses. </w:t>
      </w:r>
      <w:r>
        <w:rPr>
          <w:rFonts w:ascii="Times New Roman" w:cs="Times New Roman" w:eastAsia="Times New Roman" w:hAnsi="Times New Roman"/>
          <w:sz w:val="18"/>
          <w:szCs w:val="18"/>
          <w:color w:val="auto"/>
        </w:rPr>
        <w:t>We did not incur any tax expenses during the three months ended March 31, 2026 and March 31, 2025.</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Net Loss</w:t>
      </w:r>
      <w:r>
        <w:rPr>
          <w:rFonts w:ascii="Times New Roman" w:cs="Times New Roman" w:eastAsia="Times New Roman" w:hAnsi="Times New Roman"/>
          <w:sz w:val="18"/>
          <w:szCs w:val="18"/>
          <w:color w:val="auto"/>
        </w:rPr>
        <w:t>. For the three months ended March 31, 2026, our net loss was $13,689,000, an increase of $2,523,000, or 22.6%,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$11,166,000 during the three months ended March 31, 2025. The increase in net loss resulted primarily from an increase of $2,913,000 in operating expenses.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had an accumulated deficit as of March 31, 2026, of $316 million, as well as a net loss of $13.7 million for the three months ended March 31, 2026 and negative operating cash flows. We expect to continue incurring losses and negative cash flows from operations until we expand our commercial revenue to a scale that funds our commercial resources, development activities and support functions. As a result of these expected losses and negative cash flows from operations, along with our current cash position, we believe we do not have sufficient resources to fund operations for at least the next 12 months. Therefore, there is substantial doubt about our ability to continue as a going concern.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plans include continued commercialization of our products and raising capital through sale of additional equity securities, debt or capital inflows from strategic partnerships and exercise of warrants. There are no assurances, however, that we will be successful in obtaining the level of financing needed for our operations. If we are unsuccessful in commercializing our products or raising capital, we may need to reduce activities, curtail or cease operations.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May 2023, we closed a private placement offering that resulted in aggregate gross proceeds of approximately $42.2 million, before deducting fees payable to the placement agent and other offering expenses payable by us, pursuant to which we issued and sold 10,266,270 shares of our common stock, pre-funded warrants to purchase up to 15,561,894 shares of common stock and warrants to purchase up to an aggregate of 51,656,328 shares of common stock, consisting of Series H warrants to purchase up to 12,914,086 shares of common stock (the “Series H Warrants”), Series I warrants to purchase up to 12,914,078 shares of common stock (the “Series I Warrants”), Series J warrants to purchase up to 12,914,086 shares of Common Stock (the “Series J Warrants”) and Series K warrants to purchase up to 12,914,078 shares of common stock (the “Series K Warrants” and together with the Series H Warrants, Series I Warrants and Series J Warrants, the “May 2023 Warrants”), at an offering price of $1.6327 per Private Placement Share and associated May 2023 Warrants and an offering price of $1.6326 per pre-funded warrant and associated May 2023 Warrants. If the May 2023 Warrants are exercised in cash in full this would result in an additional $71.4 million of gross proceeds (of which approximately $33.8 million has been received as of the date of this Quarterly Report on Form 10-Q). There can be no assurance that we will achieve any of the remaining milestones set forth in the May 2023 Warrants or that the outstanding May 2023 Warrants will be exercised in cash in full.</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the announcement of the one year follow up study results from the Company’s C-GUARDIANS trial, the Series H Warrants were exercised in full into 292,996 shares of common stock and pre-funded warrants to purchase 12,621,090 shares of common stock. The net proceeds from the exercise of the Series H Warrants were $16.9 million after deducting placement agent fees.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the announcement of the PMA approval of the CGuard Prime carotid stent system in the United States, the Series I warrants were exercised in full into 2,352,393 shares of common stock and pre-funded warrants to purchase 10,561,685 shares of common stock during June and July 2025. The net proceeds from the exercise of the Series I Warrants were $16.9 million after deducting placement agent fees.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2024, we entered into an Equity Distribution Agreement (the “2024 Distribution Agreement”) with Piper Sandler &amp; Co., as sales agent (“Piper Sandler”). Pursuant to the 2024 Distribution Agreement, we were able offer and sell from time to time, at our option, through or to Piper Sandler shares of our common stock having an aggregate offering price of up to $75 million. We paid Piper Sandler a commission at a fixed rate of 3.0% of the aggregate gross proceeds from each sale of the shares under the 2024 Distribution Agreement. On April 3, 2026, we terminated the 2024 Distribution Agreement in connection with our entry into the 2026 Distribution Agreement (as defined below) with BTIG (as defined below). During the first quarter of 2026, we did not sell any shares pursuant to the 2024 Distribution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August 2025, we closed the private placement offering that resulted in aggregate gross proceeds of approximately $40.1 million, before deducting fees payable to the placement agent and other offering expenses payable by 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2026, we entered into an Equity Distribution Agreement (the “2026 Distribution Agreement”) with BTIG, LLC, as sales agent (“BTIG”). Pursuant to the 2026 Distribution Agreement, we may offer and sell from time to time, at our option, through or to BTIG shares of our common stock having an aggregate offering price of up to $75 million. We will pay BTIG a commission at a fixed rate of up to 3.0% of the aggregate gross proceeds from each sale of the shares under the 2026 Distribution Agreement. As of the date hereof, we have not sold any shares pursuant to the 2026 Distribution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compared to the Three months ended March 31, 2025</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As of March 31, 2026, we had cash and cash equivalents of $11,362,000 and marketable securities of $30,208,000, as compared to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cash equivalents of $8,939,000 and marketable securities of $45,272,000 as of December 31, 2025. We have historically met our cash needs through a combination of issuing new shares, borrowing activities and product sales. Our cash requirements are generally for research and development, marketing and sales activities, finance and administrative costs, capital expenditures and general working capital.</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net cash used in our operating activities increased by $3,545,000, or 40.3%, to $12,337,000, from $8,792,000 during the same period in 2025. The primary reasons for the increase in cash used in our operating activities were an increase of $5,038,000 in compensation costs paid during the three months ended March 31, 2026 (from $6,132,000 in the three months ended March 31, 2025 to $11,170,000 in the three months ended March 31, 2026) offset by an increase of $1,561,000 in payments received from customers during the three months ended March 31, 2026 (from $1,555,000 in the three months ended March 31, 2025 to $3,116,000 during the three months ended March 31, 2026).</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provided by our investing activities was $14,779,000 during the three months ended March 31, 2026, compared to $1,702,000 during the three months ended March 31, 2025. The primary reason for the increase in cash provided by our investing activities is withdrawal of $15,000,000 from our investment in marketable securities.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no cash provided by financing activities for the three months ended March 31, 2026. Cash provided by financing activities for the three months ended March 31, 2025, was $506,000. The source of the cash provided by financing activities during the three months ended March 31, 2025, were the proceeds from issuance of shares of $506,000, net of issuance costs, received from the 2024 Distribution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off-balance sheet transactions, arrangements, obligations (including contingent obligations) or other relationships with unconsolidated entities or other persons that have, or may have, a material effect on our financial condition, changes in financial condition, revenues or expenses, results of operations, liquidity, capital expenditures or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Future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our future operating results will continue to be subject to quarterly variations based upon a wide variety of factors, including the market acceptance of the U.S. commercial launch, cyclical nature of the ordering patterns of our distributors, timing of regulatory approvals, the implementation of various phases of our clinical trials, manufacturing efficiencies due to the learning curve of utilizing new materials and equipment and the costs or other consequences associated with any current or future product recall that may occur. Product recalls in particular may adversely affect our operating results through the direct costs of executing a recall, lost revenues resulting from the removal of affected products from the market and the interruption of sales during any remediation period, costs associated with redesigning and remanufacturing affected products, potential regulatory, litigation and other legal costs, and longer-term reputational harm that may reduce market acceptance of our current and future products. Our operating results could also be impacted by a weakening of the Euro and strengthening of the NIS, both against the U.S. dollar. Lastly, other economic conditions we cannot foresee may affect customer demand, such as individual country reimbursement policies pertaining to our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to our contractual obligations and commitments since the year ended December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Recently Adopted and Issued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3 to our condensed financial statements in Part I, Item 1 of this Quarterly Report on Form 10-Q for new accounting pronouncements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Conclusions Regarding Effectiveness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we conducted an evaluation, under the supervision and participation of management including our chief executive officer and chief financial officer, of the effectiveness of our disclosure controls and procedures (as defined in Rule 13a-15(e) and Rule 15d-15(e) of the Securities Exchange Act of 1934, as amended). There are inherent limitations to the effectiveness of any system of disclosure controls and procedures. Accordingly, even effective disclosure controls and procedures can only provide reasonable assurance of achieving their control objectives.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upon this evaluation, our chief executive officer and chief financial officer concluded that our disclosure controls and procedures are effective at the reasonable assurance level as of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fiscal quarter ended March 31, 2026, that materially affected, or are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There are currently no pending material legal proceedings, and we are currently not aware of any legal proceedings or claims against us or our property that we believe will have any significant effect on our business, financial position or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below in this Item 1A and the Risk Factors included in our previous filings made with the SEC, there have been no material changes to our risk factors from those disclosed in “Part I. Item 1A. Risk Factors” in the Form 10-K filed with the SEC on March 18, 2026.</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Management has concluded that there is substantial doubt about our ability to continue as a going concern, and our condensed financial statements for the quarter ended March 31, 2026 includes an explanatory paragraph as to our ability to continue as a going concern, which could prevent us from obtaining new financing on reasonable terms or at all.</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we have had recurring losses and negative cash flows from operating activities, substantial doubt exists regarding our ability to remain as a going concern at the same level at which we are currently performing. Accordingly, our condensed financial statements for the quarter ended March 31, 2026 includes an explanatory paragraph as to our potential inability to continue as a going concern. The doubts regarding our potential ability to continue as a going concern may adversely affect our ability to obtain new financing on reasonable terms or at all.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have and may in the future be subject to product notifications, recalls, or voluntary market withdrawals that could harm our reputation, business and financial results.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regulatory approval has been obtained for medical device products, the product and the manufacturer are subject to continual review, including the review of adverse events and clinical results that are reported after our products are made available to patients, and there can be no assurance that such approval will not be withdrawn or restricted. Regulators may also subject approvals to restrictions or conditions or impose post-approval obligations on the holders of these approvals, and the regulatory status of such products may be jeopardized if such obligations are not fulfilled. If post-approval studies are required, such studies may involve significant time and expense.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manufacturing and marketing of medical devices involves an inherent risk that our products may prove to be defective and cause a health risk even after regulatory clearances have been obtained. The FDA and similar governmental authorities in other countries have the authority to require the recall of commercialized products in the event of material regulatory deficiencies or defects in design or manufacture. Medical devices may also be modified after regulatory clearance is obtained to such an extent that additional regulatory clearance is necessary before the device can be further marketed. In these events, we may voluntarily implement a recall or market withdrawal or may be required to do so by a regulatory authority. For example, in May 2026, we announced a voluntary recall in the U.S. of CGuard Prime, initiated in consultation with the FDA. This decision followed our determination during controlled launch that the technical success of the delivery system during CAS procedures had not met performance expectations Such recall, and any recalls in the future, could result in significant current and future costs and other negative impacts associated with such recalls (including inventory write-off costs, refunds and other remediation costs), loss of revenues, sales or customers, potential actions by regulators or other governmental entities, potential claims and lawsuits by customers and patients (including class action product liability litigation), other operational impacts and consequences such as business disruption, loss of personnel and distraction of management or other key employees, the restatement of previously issued financial statements, inability to raise capital, as well as negative publicity and damage to our reputation, which could have a material adverse impact on our business, results of operations and financial condition.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European Economic Area, we must comply with the medical device vigilance system under Regulation (EU) 2017/745 on medical devices, or the MDR. Under this system, manufacturers are generally required to report serious incidents involving medical devices via an electronic system incorporated into the EU database on medical devices, called EUDAMED. Furthermore, manufacturers are required to take Field Safety Corrective Actions (“FSCAs”) to reduce a risk of death or serious deterioration in the state of health associated with the use of a medical device that is already placed on the market. An FSCA may include the recall, modification, exchange, destruction or retrofitting of the device. FSCAs must be communicated by the manufacturer or its legal representative to its customers and/or to the end users of the device through Field Safety Notices. FSCAs must be reported to the relevant competent authorities, even if the FSCA was undertaken in a third country in relation to a device which is also legally made available on the Union market and the reason for the FSCA is not limited to the device made available in the third country.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adverse event involving our products could result in other future voluntary corrective actions, such as recalls or customer notifications, or agency action, such as inspection or enforcement action. Adverse events have been reported to us in the past, and we cannot guarantee that they will not occur in the future. Any corrective action, whether voluntary or involuntary, as well as defending ourselves in a lawsuit, would require the dedication of our time and capital, distract management from operating our business and could harm our reputation and financial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Defects or failures associated with our products has led to recalls, and could lead to additional recalls, safety alerts or litigation, as well as significant costs and negative publicity.</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is subject to significant risks associated with the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could result in significant costs, negative publicity and adverse competitive pressure. For example, in May 2026, we announced a voluntary recall in the U.S. of CGuard Prime, initiated in consultation with the FDA. This decision followed our determination during controlled launch that the technical success of the delivery system during CAS procedures had not met performance expectations. The circumstances giving rise to recalls are unpredictable, and any recalls of existing or future products increase the probability of inspection by, or additional scrutiny from, the FDA and could have a material adverse effect on our business, financial condition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medical device industry has historically been subject to extensive litigation over product liability claims. Operating in the area of the neck with the brain as the end organ is dangerous and presents risks of adverse events such as bleeding, arterial dissection, cranial nerve injury, myocardial infarction, stroke and death, which subject us to a greater risk of being involved in litigation than companies with products used in less critical areas of the body. We may be subject to product liability claims if our products cause, or merely appear to have caused, an injury or death, even if due to physician error. In addition, an injury or death that is caused by the activities of our suppliers, such as those that provide us with components and materials, or by an aspect of a treatment used in combination with our products, such as a complementary drug or anesthesia, may be the basis for a claim against us by patients, hospitals, physicians or others purchasing or using our products, even if our products were not the actual cause of such injury or death. We may choose to settle any claims to avoid fault and complication, not due to failure of our products. An adverse outcome involving one of our products could result in reduced market acceptance and demand for all of our products and could harm our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file adverse event reports under MDR and regulations with the FDA, which reports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products we develop receive marketing approval, we or others may later discover that the product is less effective than previously believed or causes undesirable side effects that were not previously identified, which could compromise our ability or that of any collaborators to market the product, and could cause regulatory authorities to take certain regulatory actions, which could harm our commercial operations.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possible that our clinical trials may indicate an apparent positive effect of a product that is greater than the actual positive effect, if any, or alternatively fail to identify undesirable side effects. For example, we, or others, may discover that our products are less safe and effective than previously believed. If, we, or others, discover that a product is less effective than previously believed or causes undesirable side effects that were not previously identified, any of the following adverse events could occur:</w:t>
      </w:r>
    </w:p>
    <w:p>
      <w:pPr>
        <w:spacing w:after="0" w:line="18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collaborators, may be required to recall the product, change the way the product is administered or conduct additional clinical trials;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of, the particular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collaborators, may be subject to fines, injunctions or the imposition of civil or criminal penalties;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 including with the product;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collaborators, may be required to create a Medication Guide outlining the risks of the previously unidentified side effects for distribution to patients;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and patients may stop using our product;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these events could harm our business and operations and could negatively impact our stock price.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example, in May 2026, we announced a voluntary recall in the U.S. of CGuard Prime, initiated in consultation with the FDA. This decision followed our determination during controlled launch that the technical success of the delivery system during CAS procedures had not met performance expectations. Such recall, and any recalls in the future, could result in significant current and future costs and other negative impacts associated with such recalls (including inventory write-off costs, refunds and other remediation costs), loss of revenues, sales or customers, potential actions by regulators or other governmental entities, potential claims and lawsuits by customers and patients (including class action product liability litigation), other operational impacts and consequences such as business disruption, loss of personnel and distraction of management or other key employees, or the restatement of previously issued financial statements, inability to raise capital, as well as negative publicity and damage to our reputation, which could have a material adverse impact on our business, results of operations and financial condition.</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modifications to our products may require new 510(k) clearances, premarket approval, or CE Marks, or may require us to recall or cease marketing our products until new clearances or approvals are obtained.</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Material modifications to the intended use or technological characteristics of our products will require new 510(k) clearances, premarket approvals (“PMA”) by the FDA or CE Marks under the EU Medical Device Regulation (“MDR”) prior to implementing the modifications, or require us to recall or cease marketing the modified devices until these clearances or approvals are obtained. Furthermore, changes to our manufacturing facility or supplier of components used in our products require prior FDA approval of a PMA supplement. The FDA requires device manufacturers to initially make and document a determination of whether or not a modification requires a new approval, supplement or clearance; however, the FDA can review a manufacturer’s decision. Any modification to an FDA cleared device that would significantly affect its safety or effectiveness or that would constitute a major change in its intended use would require a new 510(k) clearance or approval of a PMA supplement. We may not be able to obtain additional 510(k) clearances or premarket approvals for new products or for modifications to, or additional indications for, our products in a timely fashion, or at all. Delays in obtaining required future clearances would harm our ability to introduce new or enhanced products in a timely manner, which in turn would harm our future growth. We have made modifications to our products in the past that we believe do not require additional clearances or approvals, and we may make additional modifications in the future. If the FDA or an EU Notified Body disagrees and requires new clearances or approvals for any of these modifications, we may be required to recall and to stop selling or marketing our products as modified, which could harm our operating results and require us to redesign our products. In these circumstances, we may be subject to significant enforcement actions. In response to the voluntary recall in the U.S. of CGuard Prime, initiated in consultation with the FDA in May 2026, we intend to implement design improvements to CGuard Prime. However, there can be no assurance that such design improvements will be sufficient to obtain FDA approval, or that any such approval will be obtained in a timely manner, if at all.</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We bear the risk of warranty claims on our products.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bear the risk of warranty claims on our products. We may not be successful in claiming recovery under any warranty or indemnity provided to us by our suppliers or vendors in the event of a successful warranty claim against us by a customer, and any recovery from such supplier or vendor may not be adequate. Furthermore, we may not have any, or have an adequate, warranty provided by our supplier. In addition, warranty claims brought by our customers related to third-party components may arise after our ability to bring corresponding warranty claims against such suppliers expires, which could result in costs to us. In addition, we have been, and in the future could be, subject to costs related to product recalls, and we could incur significant costs to correct any defects, warranty claims or other problems. Any such events could adversely affect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there are significant shifts in the political, economic and military conditions in Israel and its neighbors, it could have a material adverse effect on our business operations and ability to reach profitability.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we are incorporated in the State of Delaware and our headquarters are in Miami, Florida, our current manufacturing facility, certain of our key personnel and one of our offices are located in Israel. Our business is directly affected by the political, economic and military conditions in Israel and its neighbors. Since the establishment of the State of Israel in 1948, a number of armed conflicts have occurred between Israel and its neighboring countries and terrorist organizations active in the region, including Iran, Hamas (an Islamist terrorist militia and political group that controls the Gaza strip), Hezbollah (an Islamist terrorist militia and political group based in Lebanon) and other terrorist organizations active in the region. These conflicts have involved missile strikes, hostile infiltrations and terrorism against civilian targets in various parts of Israel, which have negatively affected business conditions in Israel.</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Iran is also believed to have a strong influence among extremist groups in the region, such as Hamas in Gaza, Hezbollah in Lebanon, the Houthi movement in Yemen and various rebel militia groups in Syria and Iraq. On October 7, 2023, Hamas launched a series of attacks on civilian and military targets in Southern Israel and Central Israel, to which the Israel Defense Forces responded. On October 9, 2025, Israel, Hamas, the United States and other countries in the region agreed to a framework for a ceasefire in Gaza between Israel and Hamas.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both Hezbollah and the Houthi movement attacked military and civilian targets in Israel, to which Israel responded, including through increased air and ground operations in Lebanon. In addition, the Houthi movement attacked international shipping lanes in the Red Sea, to which both Israel and the United States responded. While a ceasefire was brokered between Israel and Hezbollah in November 2024, in March 2026, hostilities resumed along Israel’s northern border with Lebanon, when Hezbollah resumed its attacks as part of a broader regional escalation. In response, Israel resumed military operations against Hezbollah in Lebanon.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 in April 2024 and October 2024, Iran launched a series of drone and missile strikes against Israel, to which Israel responded. In addition, in response to ongoing Iranian aggression and support of proxy attacks against Israel, on June 13, 2025, Israel conducted a series of preemptive defensive air strikes in Iran targeting Iran’s nuclear program and military commanders. While a ceasefire was reached in June 2025 following 12 days of hostilities, on February 28, 2026, the United States and Israel launched coordinated military strikes against Iran, including attacks on strategic military infrastructure and leadership targets, with the stated aim of degrading Iran’s capacity to conduct or support hostile operations against them. In response, Iran has fired missiles and drones toward population centers and military installations in Israel, Europe and neighboring countries in the Gulf region, and also launched counter-strikes against U.S. forces and allied bases throughout the Gulf region. While a temporary ceasefire agreed to between Iran and the U.S. on April 8, 2026 as part of ongoing negotiations for a permanent ceasefire agreement, the situation remains volatile and uncertain. Although the ceasefire has been subject to extensions and continued diplomatic engagement, it has reportedly been characterized by tensions, alleged violations and stalled negotiations. We cannot predict if and to what extent this ceasefire will remain in effect or upheld or whether hostilities may resume or further escalate. A broader regional conflict involving additional state and non-state actors remains a significant risk How long and how severe the conflicts in Gaza, Northern Israel, Lebanon, Iran or the broader region last and become is unknown at this time and any renewed or continued clash among Israel, Hamas, Hezbollah, Iran or other countries or militant groups in the region may escalate in the future into a greater regional conflict. Continued military escalation, retaliatory actions, or broader regional involvement may adversely affect economic conditions, disrupt markets, and create uncertainty that could negatively impact our business, financial condition and results of operations.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of our employees may be obligated to perform military reserve duty generally until they reach the age of 40 (or older, for officers or other citizens who hold certain positions in the Israeli armed forces reserves) and, in the event of a military conflict, may be called to active duty. In response to increases in terrorist activity and military conflicts in Israel, there have been periods of significant call-ups of military reservists. Military service call ups that result in absences of personnel from us for an extended period of time may materially and adversely affect our business, prospects, financial condition and results of operations.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date, our operations have not been adversely affected by this situation. We currently manufacture our CGuard EPS and CGuard Prime at our facility in Tel Aviv, Israel. If there were a disruption to our existing manufacturing facility or our ability to procure raw materials and ship our products, we would have no other means of manufacturing and distributing CGuard EPS or CGuard Prime until we were able to restore the manufacturing and distribution capability at our facility or develop alternative manufacturing facilities and distribution capabilities. However, the intensity and duration of the security situation in Israel have been difficult to predict, as are the economic implications on our business and operations and on Israel’s economy in general. If the war extends for a long period of time or expands to other fronts, our operations may be harmed.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results of operations.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continued political instability and hostilities between Israel and its neighbors and any future armed conflict, terrorist activity or political instability in the region could adversely affect our operations in Israel and adversely affect the market price of our shares of common stock. In addition, several organizations and countries may restrict doing business with Israel and Israeli companies have been and are today subjected to economic boycotts. The interruption or curtailment of trade between Israel and its present trading partners could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no director or officer of the Company adopted or terminated a “Rule 10b5-1 trading arrangement” or a “non-Rule 10b5-1 trading arrangement” (in each case, as defined in Item 408 of Regulation S-K).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140" w:type="dxa"/>
            <w:vAlign w:val="bottom"/>
            <w:gridSpan w:val="12"/>
          </w:tcPr>
          <w:p>
            <w:pPr>
              <w:ind w:left="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140" w:type="dxa"/>
            <w:vAlign w:val="bottom"/>
            <w:tcBorders>
              <w:top w:val="single" w:sz="8" w:color="auto"/>
              <w:bottom w:val="single" w:sz="8" w:color="0000EE"/>
            </w:tcBorders>
            <w:gridSpan w:val="13"/>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Amended and Restated Certificate of Incorporation, as amended through September 30, 2015 (incorporated by reference to Exhibit 3.1 to</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Quarterly Report on Form 10-Q filed with the Securities and Exchange Commission on November 9, 2015)</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140" w:type="dxa"/>
            <w:vAlign w:val="bottom"/>
            <w:gridSpan w:val="13"/>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Amended and Restated Bylaws (incorporated by reference to Exhibit 3.2 to Current Report on Form 8-K filed with the Securities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Exchange Commission on June 29, 2021)</w:t>
              </w:r>
            </w:hyperlink>
          </w:p>
        </w:tc>
        <w:tc>
          <w:tcPr>
            <w:tcW w:w="712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Current Report on Form 8-K filed on May 25, 2016)</w:t>
              </w:r>
            </w:hyperlink>
          </w:p>
        </w:tc>
        <w:tc>
          <w:tcPr>
            <w:tcW w:w="5640" w:type="dxa"/>
            <w:vAlign w:val="bottom"/>
            <w:gridSpan w:val="11"/>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Current Report on Form 8-K filed on September 29, 2016)</w:t>
              </w:r>
            </w:hyperlink>
          </w:p>
        </w:tc>
        <w:tc>
          <w:tcPr>
            <w:tcW w:w="5200" w:type="dxa"/>
            <w:vAlign w:val="bottom"/>
            <w:gridSpan w:val="7"/>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Certificate of Designation of Preferences, Rights and Limitations of Series C Convertible Preferred Stock (incorporated by reference to</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Exhibit 3.1 to the Current Report on Form 8-K filed on March 15, 2017)</w:t>
              </w:r>
            </w:hyperlink>
          </w:p>
        </w:tc>
        <w:tc>
          <w:tcPr>
            <w:tcW w:w="4920" w:type="dxa"/>
            <w:vAlign w:val="bottom"/>
            <w:gridSpan w:val="6"/>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Certificate of Amendment to Certificate of Designation of Preferences, Rights and Limitation of Series C Convertible Preferred Stock</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(incorporated by reference to Exhibit 3.1 to the Current Report on Form 8-K filed on November 29, 2017)</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20" w:type="dxa"/>
            <w:vAlign w:val="bottom"/>
            <w:tcBorders>
              <w:left w:val="single" w:sz="8" w:color="0000EE"/>
            </w:tcBorders>
            <w:gridSpan w:val="3"/>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Certificate of Amendment to Certificate of Designation of Preferences, Rights and Limitation of Series B Convertible Preferred Stock</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(incorporated by reference to Exhibit 3.1 to the Current Report on Form 8-K filed on December 12, 2017)</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Current Report on Form 8-K filed on February 7, 2018)</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Current Report on Form 8-K filed on March 28, 2019)</w:t>
              </w:r>
            </w:hyperlink>
          </w:p>
        </w:tc>
        <w:tc>
          <w:tcPr>
            <w:tcW w:w="5500" w:type="dxa"/>
            <w:vAlign w:val="bottom"/>
            <w:gridSpan w:val="10"/>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17</w:t>
              </w:r>
              <w:r>
                <w:rPr>
                  <w:rFonts w:ascii="Times New Roman" w:cs="Times New Roman" w:eastAsia="Times New Roman" w:hAnsi="Times New Roman"/>
                  <w:sz w:val="18"/>
                  <w:szCs w:val="18"/>
                  <w:color w:val="0000EE"/>
                  <w:w w:val="99"/>
                </w:rPr>
                <w:t xml:space="preserve"> to the Quarterly Report on Form 10-Q filed on May 10, 2021)</w:t>
              </w:r>
            </w:hyperlink>
          </w:p>
        </w:tc>
        <w:tc>
          <w:tcPr>
            <w:tcW w:w="5320" w:type="dxa"/>
            <w:vAlign w:val="bottom"/>
            <w:gridSpan w:val="8"/>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Current Report on Form 8-K filed on September 13, 2023)</w:t>
              </w:r>
            </w:hyperlink>
          </w:p>
        </w:tc>
        <w:tc>
          <w:tcPr>
            <w:tcW w:w="5200" w:type="dxa"/>
            <w:vAlign w:val="bottom"/>
            <w:gridSpan w:val="7"/>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71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2960" w:type="dxa"/>
            <w:vAlign w:val="bottom"/>
            <w:gridSpan w:val="4"/>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906 of the Sarbanes-Oxley Act of 2002</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71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 of the Sarbanes-Oxley Act of 2002</w:t>
            </w:r>
          </w:p>
        </w:tc>
        <w:tc>
          <w:tcPr>
            <w:tcW w:w="40" w:type="dxa"/>
            <w:vAlign w:val="bottom"/>
            <w:tcBorders>
              <w:top w:val="single" w:sz="8" w:color="0000EE"/>
            </w:tcBorders>
          </w:tcPr>
          <w:p>
            <w:pPr>
              <w:spacing w:after="0"/>
              <w:rPr>
                <w:sz w:val="24"/>
                <w:szCs w:val="24"/>
                <w:color w:val="auto"/>
              </w:rPr>
            </w:pPr>
          </w:p>
        </w:tc>
        <w:tc>
          <w:tcPr>
            <w:tcW w:w="2960" w:type="dxa"/>
            <w:vAlign w:val="bottom"/>
            <w:gridSpan w:val="4"/>
          </w:tcPr>
          <w:p>
            <w:pPr>
              <w:spacing w:after="0"/>
              <w:rPr>
                <w:sz w:val="24"/>
                <w:szCs w:val="24"/>
                <w:color w:val="auto"/>
              </w:rPr>
            </w:pPr>
          </w:p>
        </w:tc>
      </w:tr>
      <w:tr>
        <w:trPr>
          <w:trHeight w:val="4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INSPIREMD,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7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Marvin Slosman</w:t>
            </w:r>
          </w:p>
        </w:tc>
      </w:tr>
      <w:tr>
        <w:trPr>
          <w:trHeight w:val="191"/>
        </w:trPr>
        <w:tc>
          <w:tcPr>
            <w:tcW w:w="3440" w:type="dxa"/>
            <w:vAlign w:val="bottom"/>
          </w:tcPr>
          <w:p>
            <w:pPr>
              <w:spacing w:after="0"/>
              <w:rPr>
                <w:sz w:val="16"/>
                <w:szCs w:val="16"/>
                <w:color w:val="auto"/>
              </w:rPr>
            </w:pPr>
          </w:p>
        </w:tc>
        <w:tc>
          <w:tcPr>
            <w:tcW w:w="2760" w:type="dxa"/>
            <w:vAlign w:val="bottom"/>
          </w:tcPr>
          <w:p>
            <w:pPr>
              <w:ind w:left="2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Marvin Slosman,</w:t>
            </w:r>
          </w:p>
        </w:tc>
      </w:tr>
      <w:tr>
        <w:trPr>
          <w:trHeight w:val="216"/>
        </w:trPr>
        <w:tc>
          <w:tcPr>
            <w:tcW w:w="3440" w:type="dxa"/>
            <w:vAlign w:val="bottom"/>
          </w:tcPr>
          <w:p>
            <w:pPr>
              <w:spacing w:after="0"/>
              <w:rPr>
                <w:sz w:val="18"/>
                <w:szCs w:val="18"/>
                <w:color w:val="auto"/>
              </w:rPr>
            </w:pPr>
          </w:p>
        </w:tc>
        <w:tc>
          <w:tcPr>
            <w:tcW w:w="27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7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Lawless</w:t>
            </w:r>
          </w:p>
        </w:tc>
      </w:tr>
      <w:tr>
        <w:trPr>
          <w:trHeight w:val="191"/>
        </w:trPr>
        <w:tc>
          <w:tcPr>
            <w:tcW w:w="3440" w:type="dxa"/>
            <w:vAlign w:val="bottom"/>
          </w:tcPr>
          <w:p>
            <w:pPr>
              <w:spacing w:after="0"/>
              <w:rPr>
                <w:sz w:val="16"/>
                <w:szCs w:val="16"/>
                <w:color w:val="auto"/>
              </w:rPr>
            </w:pPr>
          </w:p>
        </w:tc>
        <w:tc>
          <w:tcPr>
            <w:tcW w:w="2760" w:type="dxa"/>
            <w:vAlign w:val="bottom"/>
          </w:tcPr>
          <w:p>
            <w:pPr>
              <w:ind w:left="2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Lawless</w:t>
            </w:r>
          </w:p>
        </w:tc>
      </w:tr>
      <w:tr>
        <w:trPr>
          <w:trHeight w:val="216"/>
        </w:trPr>
        <w:tc>
          <w:tcPr>
            <w:tcW w:w="3440" w:type="dxa"/>
            <w:vAlign w:val="bottom"/>
          </w:tcPr>
          <w:p>
            <w:pPr>
              <w:spacing w:after="0"/>
              <w:rPr>
                <w:sz w:val="18"/>
                <w:szCs w:val="18"/>
                <w:color w:val="auto"/>
              </w:rPr>
            </w:pPr>
          </w:p>
        </w:tc>
        <w:tc>
          <w:tcPr>
            <w:tcW w:w="27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4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16</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1" w:name="page32"/>
    <w:bookmarkEnd w:id="31"/>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Marvin Slosman,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InspireMD,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Marvin Slosman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Marvin Slosman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2" w:name="page33"/>
    <w:bookmarkEnd w:id="32"/>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Lawless,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InspireMD,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Lawless</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Lawless</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InspireMD, Inc. (the “Company”) for the period ended March 31, 2026 as filed with the Securities and Exchange Commission on the date hereof (the “Report”), I, Marvin Slosman, Chief Executive Officer of the Company, certify, pursuant to 18 U.S.C. ss. 1350, that, to my knowledge:</w:t>
      </w:r>
    </w:p>
    <w:p>
      <w:pPr>
        <w:spacing w:after="0" w:line="176"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covered in this report.</w:t>
      </w:r>
    </w:p>
    <w:p>
      <w:pPr>
        <w:spacing w:after="0" w:line="160"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Marvin Slosman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Marvin Slosman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InspireMD, Inc. (the “Company”) for the period ended March 31, 2026 as filed with the Securities and Exchange Commission on the date hereof (the “Report”), I, Michael Lawless, Chief Financial Officer of the Company, certify, pursuant to 18 U.S.C. ss. 1350, that, to my knowledge:</w:t>
      </w:r>
    </w:p>
    <w:p>
      <w:pPr>
        <w:spacing w:after="0" w:line="176"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covered in this report.</w:t>
      </w:r>
    </w:p>
    <w:p>
      <w:pPr>
        <w:spacing w:after="0" w:line="160"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Michael Lawless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Lawless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Letter"/>
      <w:start w:val="3"/>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lowerLetter"/>
      <w:start w:val="5"/>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lowerLetter"/>
      <w:start w:val="2"/>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40" Type="http://schemas.openxmlformats.org/officeDocument/2006/relationships/hyperlink" Target="https://www.sec.gov/Archives/edgar/data/1433607/000161577415003178/s102096_ex3-1.htm" TargetMode="External"/><Relationship Id="rId41" Type="http://schemas.openxmlformats.org/officeDocument/2006/relationships/hyperlink" Target="https://www.sec.gov/Archives/edgar/data/1433607/000149315221015545/ex3-2.htm" TargetMode="External"/><Relationship Id="rId42" Type="http://schemas.openxmlformats.org/officeDocument/2006/relationships/hyperlink" Target="https://www.sec.gov/Archives/edgar/data/1433607/000161577416005628/s103343_ex3-1.htm" TargetMode="External"/><Relationship Id="rId43" Type="http://schemas.openxmlformats.org/officeDocument/2006/relationships/hyperlink" Target="https://www.sec.gov/Archives/edgar/data/1433607/000149315216013705/ex3-1.htm" TargetMode="External"/><Relationship Id="rId44" Type="http://schemas.openxmlformats.org/officeDocument/2006/relationships/hyperlink" Target="https://www.sec.gov/Archives/edgar/data/1433607/000149315217002455/ex3-1.htm" TargetMode="External"/><Relationship Id="rId45" Type="http://schemas.openxmlformats.org/officeDocument/2006/relationships/hyperlink" Target="https://www.sec.gov/Archives/edgar/data/1433607/000149315217013917/ex3-1.htm" TargetMode="External"/><Relationship Id="rId46" Type="http://schemas.openxmlformats.org/officeDocument/2006/relationships/hyperlink" Target="https://www.sec.gov/Archives/edgar/data/1433607/000149315217014515/ex3-1.htm" TargetMode="External"/><Relationship Id="rId47" Type="http://schemas.openxmlformats.org/officeDocument/2006/relationships/hyperlink" Target="https://www.sec.gov/Archives/edgar/data/1433607/000149315218001617/ex3-1.htm" TargetMode="External"/><Relationship Id="rId48" Type="http://schemas.openxmlformats.org/officeDocument/2006/relationships/hyperlink" Target="https://www.sec.gov/Archives/edgar/data/1433607/000149315219004101/ex3-1.htm" TargetMode="External"/><Relationship Id="rId49" Type="http://schemas.openxmlformats.org/officeDocument/2006/relationships/hyperlink" Target="https://www.sec.gov/Archives/edgar/data/1433607/000149315221010881/ex3-17.htm" TargetMode="External"/><Relationship Id="rId50" Type="http://schemas.openxmlformats.org/officeDocument/2006/relationships/hyperlink" Target="https://www.sec.gov/Archives/edgar/data/1433607/000149315223032486/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2026-05-07T07:56:10Z</dcterms:created>
  <dcterms:modified xsi:type="dcterms:W3CDTF">2026-05-07T07:56:10Z</dcterms:modified>
</cp:coreProperties>
</file>