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4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E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7_edei--DocumentPeriodEndDate_c202"/>
      <w:bookmarkEnd w:id="4"/>
      <w:r>
        <w:rPr>
          <w:rFonts w:ascii="Times New Roman;Times;Serif" w:hAnsi="Times New Roman;Times;Serif"/>
          <w:b/>
          <w:i w:val="false"/>
          <w:caps w:val="false"/>
          <w:smallCaps w:val="false"/>
          <w:sz w:val="20"/>
        </w:rPr>
        <w:t xml:space="preserve">June 30, </w:t>
      </w:r>
      <w:bookmarkStart w:id="5" w:name="xdx_900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9_edei--DocumentTransitionReport_c"/>
            <w:bookmarkEnd w:id="6"/>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B_edei--EntityFileNumber_c20240101"/>
      <w:bookmarkEnd w:id="7"/>
      <w:r>
        <w:rPr>
          <w:rFonts w:ascii="Times New Roman;Times;Serif" w:hAnsi="Times New Roman;Times;Serif"/>
          <w:b/>
          <w:i w:val="false"/>
          <w:caps w:val="false"/>
          <w:smallCaps w:val="false"/>
          <w:sz w:val="20"/>
        </w:rPr>
        <w:t>001-35731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A_edei--EntityRegistrantName_c2024"/>
      <w:bookmarkEnd w:id="8"/>
      <w:r>
        <w:rPr>
          <w:rFonts w:ascii="Times New Roman;Times;Serif" w:hAnsi="Times New Roman;Times;Serif"/>
          <w:b/>
          <w:i w:val="false"/>
          <w:caps w:val="false"/>
          <w:smallCaps w:val="false"/>
          <w:sz w:val="36"/>
        </w:rPr>
        <w:t>InspireMD,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6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9_edei--EntityTaxIdentificationNum"/>
            <w:bookmarkEnd w:id="10"/>
            <w:r>
              <w:rPr>
                <w:rFonts w:ascii="Times New Roman;Times;Serif" w:hAnsi="Times New Roman;Times;Serif"/>
                <w:b/>
                <w:i w:val="false"/>
                <w:caps w:val="false"/>
                <w:smallCaps w:val="false"/>
                <w:sz w:val="20"/>
              </w:rPr>
              <w:t>26-2123838</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0_edei--EntityAddressAddressLine1_"/>
      <w:bookmarkEnd w:id="11"/>
      <w:r>
        <w:rPr>
          <w:rFonts w:ascii="Times New Roman;Times;Serif" w:hAnsi="Times New Roman;Times;Serif"/>
          <w:b/>
          <w:i w:val="false"/>
          <w:caps w:val="false"/>
          <w:smallCaps w:val="false"/>
          <w:sz w:val="20"/>
        </w:rPr>
        <w:t>4 Menorat Hamaor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0_edei--EntityAddressCityOrTown_c2"/>
      <w:bookmarkEnd w:id="12"/>
      <w:r>
        <w:rPr>
          <w:rFonts w:ascii="Times New Roman;Times;Serif" w:hAnsi="Times New Roman;Times;Serif"/>
          <w:b/>
          <w:i w:val="false"/>
          <w:caps w:val="false"/>
          <w:smallCaps w:val="false"/>
          <w:sz w:val="20"/>
        </w:rPr>
        <w:t xml:space="preserve">Tel Aviv, </w:t>
      </w:r>
      <w:bookmarkStart w:id="13" w:name="xdx_90C_edei--EntityAddressCountry_c2024"/>
      <w:bookmarkEnd w:id="13"/>
      <w:r>
        <w:rPr>
          <w:rFonts w:ascii="Times New Roman;Times;Serif" w:hAnsi="Times New Roman;Times;Serif"/>
          <w:b/>
          <w:i w:val="false"/>
          <w:caps w:val="false"/>
          <w:smallCaps w:val="false"/>
          <w:sz w:val="20"/>
        </w:rPr>
        <w:t xml:space="preserve">Israel </w:t>
      </w:r>
      <w:bookmarkStart w:id="14" w:name="xdx_90C_edei--EntityAddressPostalZipCode"/>
      <w:bookmarkEnd w:id="14"/>
      <w:r>
        <w:rPr>
          <w:rFonts w:ascii="Times New Roman;Times;Serif" w:hAnsi="Times New Roman;Times;Serif"/>
          <w:b/>
          <w:i w:val="false"/>
          <w:caps w:val="false"/>
          <w:smallCaps w:val="false"/>
          <w:sz w:val="20"/>
        </w:rPr>
        <w:t>6744832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9_edei--CityAreaCode_c20240101__20"/>
      <w:bookmarkEnd w:id="15"/>
      <w:r>
        <w:rPr>
          <w:rFonts w:ascii="Times New Roman;Times;Serif" w:hAnsi="Times New Roman;Times;Serif"/>
          <w:b/>
          <w:i w:val="false"/>
          <w:caps w:val="false"/>
          <w:smallCaps w:val="false"/>
          <w:sz w:val="20"/>
        </w:rPr>
        <w:t xml:space="preserve">(888) </w:t>
      </w:r>
      <w:bookmarkStart w:id="16" w:name="xdx_903_edei--LocalPhoneNumber_c20240101"/>
      <w:bookmarkEnd w:id="16"/>
      <w:r>
        <w:rPr>
          <w:rFonts w:ascii="Times New Roman;Times;Serif" w:hAnsi="Times New Roman;Times;Serif"/>
          <w:b/>
          <w:i w:val="false"/>
          <w:caps w:val="false"/>
          <w:smallCaps w:val="false"/>
          <w:sz w:val="20"/>
        </w:rPr>
        <w:t>776-6204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7" w:name="xdx_907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18" w:name="xdx_90C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EntityFilerCategory_c20240"/>
            <w:bookmarkEnd w:id="19"/>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C_edei--EntitySmallBusiness_c20240"/>
            <w:bookmarkEnd w:id="20"/>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2" w:name="xdx_904_edei--EntityShellCompany_dbF_c20"/>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0_edei--Security12bTitle_c20240101"/>
            <w:bookmarkEnd w:id="23"/>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TradingSymbol_c20240101__2"/>
            <w:bookmarkEnd w:id="24"/>
            <w:r>
              <w:rPr>
                <w:rFonts w:ascii="Times New Roman;Times;Serif" w:hAnsi="Times New Roman;Times;Serif"/>
                <w:b w:val="false"/>
                <w:i w:val="false"/>
                <w:caps w:val="false"/>
                <w:smallCaps w:val="false"/>
                <w:sz w:val="20"/>
              </w:rPr>
              <w:t>NSPR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0_edei--SecurityExchangeName_c2024"/>
            <w:bookmarkEnd w:id="25"/>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registrant’s common stock, $</w:t>
      </w:r>
      <w:bookmarkStart w:id="26" w:name="xdx_90B_edei--EntityListingParValuePerSh"/>
      <w:bookmarkEnd w:id="26"/>
      <w:r>
        <w:rPr>
          <w:rFonts w:ascii="Times New Roman;Times;Serif" w:hAnsi="Times New Roman;Times;Serif"/>
          <w:b w:val="false"/>
          <w:i w:val="false"/>
          <w:caps w:val="false"/>
          <w:smallCaps w:val="false"/>
          <w:sz w:val="20"/>
        </w:rPr>
        <w:t xml:space="preserve">0.0001 par value, outstanding as of August 5, 2024: </w:t>
      </w:r>
      <w:bookmarkStart w:id="27" w:name="xdx_907_edei--EntityCommonStockSharesOut"/>
      <w:bookmarkEnd w:id="27"/>
      <w:r>
        <w:rPr>
          <w:rFonts w:ascii="Times New Roman;Times;Serif" w:hAnsi="Times New Roman;Times;Serif"/>
          <w:b w:val="false"/>
          <w:i w:val="false"/>
          <w:caps w:val="false"/>
          <w:smallCaps w:val="false"/>
          <w:sz w:val="20"/>
        </w:rPr>
        <w:t>25,706,671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bs_001">
              <w:r>
                <w:rPr>
                  <w:rStyle w:val="InternetLink"/>
                  <w:rFonts w:ascii="Times New Roman;Times;Serif" w:hAnsi="Times New Roman;Times;Serif"/>
                  <w:b w:val="false"/>
                  <w:i w:val="false"/>
                  <w:caps w:val="false"/>
                  <w:smallCaps w:val="false"/>
                  <w:sz w:val="20"/>
                </w:rPr>
                <w:t>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bs_00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FFFFFF" w:val="clear"/>
            <w:vAlign w:val="center"/>
          </w:tcPr>
          <w:p>
            <w:pPr>
              <w:pStyle w:val="TableContents"/>
              <w:bidi w:val="0"/>
              <w:spacing w:before="0" w:after="283"/>
              <w:jc w:val="left"/>
              <w:rPr/>
            </w:pPr>
            <w:hyperlink w:anchor="bs_00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bs_004">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center"/>
              <w:rPr/>
            </w:pPr>
            <w:hyperlink w:anchor="bs_005">
              <w:r>
                <w:rPr>
                  <w:rStyle w:val="InternetLink"/>
                  <w:rFonts w:ascii="Times New Roman;Times;Serif" w:hAnsi="Times New Roman;Times;Serif"/>
                  <w:b w:val="false"/>
                  <w:i w:val="false"/>
                  <w:caps w:val="false"/>
                  <w:smallCaps w:val="false"/>
                  <w:sz w:val="20"/>
                </w:rPr>
                <w:t>PART II</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FFFFFF" w:val="clear"/>
            <w:vAlign w:val="center"/>
          </w:tcPr>
          <w:p>
            <w:pPr>
              <w:pStyle w:val="TableContents"/>
              <w:bidi w:val="0"/>
              <w:spacing w:before="0" w:after="283"/>
              <w:jc w:val="left"/>
              <w:rPr/>
            </w:pPr>
            <w:hyperlink w:anchor="bs_006">
              <w:r>
                <w:rPr>
                  <w:rStyle w:val="InternetLink"/>
                  <w:rFonts w:ascii="Times New Roman;Times;Serif" w:hAnsi="Times New Roman;Times;Serif"/>
                  <w:b w:val="false"/>
                  <w:i w:val="false"/>
                  <w:caps w:val="false"/>
                  <w:smallCaps w:val="false"/>
                  <w:sz w:val="20"/>
                </w:rPr>
                <w:t>Legal Proceedings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bs_007">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FFFFFF" w:val="clear"/>
            <w:vAlign w:val="center"/>
          </w:tcPr>
          <w:p>
            <w:pPr>
              <w:pStyle w:val="TableContents"/>
              <w:bidi w:val="0"/>
              <w:spacing w:before="0" w:after="283"/>
              <w:jc w:val="left"/>
              <w:rPr/>
            </w:pPr>
            <w:hyperlink w:anchor="bs_011">
              <w:r>
                <w:rPr>
                  <w:rStyle w:val="InternetLink"/>
                  <w:rFonts w:ascii="Times New Roman;Times;Serif" w:hAnsi="Times New Roman;Times;Serif"/>
                  <w:b w:val="false"/>
                  <w:i w:val="false"/>
                  <w:caps w:val="false"/>
                  <w:smallCaps w:val="false"/>
                  <w:sz w:val="20"/>
                </w:rPr>
                <w:t>Other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bs_012">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bs_001"/>
      <w:bookmarkEnd w:id="28"/>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AND FOR THE QUARTER ENDED </w:t>
      </w:r>
      <w:bookmarkStart w:id="29" w:name="xdx_905_edei--DocumentPeriodEndDate_c202"/>
      <w:bookmarkEnd w:id="29"/>
      <w:r>
        <w:rPr>
          <w:rFonts w:ascii="Times New Roman;Times;Serif" w:hAnsi="Times New Roman;Times;Serif"/>
          <w:b w:val="false"/>
          <w:i w:val="false"/>
          <w:caps w:val="false"/>
          <w:smallCaps w:val="false"/>
          <w:sz w:val="20"/>
        </w:rPr>
        <w:t>JUNE 30,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TABLE OF CONTENTS</w:t>
      </w:r>
    </w:p>
    <w:p>
      <w:pPr>
        <w:pStyle w:val="TextBody"/>
        <w:bidi w:val="0"/>
        <w:spacing w:before="0" w:after="0"/>
        <w:jc w:val="center"/>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5405"/>
        <w:gridCol w:w="935"/>
      </w:tblGrid>
      <w:tr>
        <w:trPr/>
        <w:tc>
          <w:tcPr>
            <w:tcW w:w="5405"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40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FINANCIAL STATEMENTS:</w:t>
            </w:r>
          </w:p>
        </w:tc>
        <w:tc>
          <w:tcPr>
            <w:tcW w:w="93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pPr>
            <w:hyperlink w:anchor="sk_001">
              <w:r>
                <w:rPr>
                  <w:rStyle w:val="InternetLink"/>
                  <w:rFonts w:ascii="Times New Roman;Times;Serif" w:hAnsi="Times New Roman;Times;Serif"/>
                  <w:b w:val="false"/>
                  <w:i w:val="false"/>
                  <w:caps w:val="false"/>
                  <w:smallCaps w:val="false"/>
                  <w:sz w:val="20"/>
                </w:rPr>
                <w:t>Condensed Consolidated Balance Sheets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F-2 - F-3</w:t>
            </w:r>
          </w:p>
        </w:tc>
      </w:tr>
      <w:tr>
        <w:trPr/>
        <w:tc>
          <w:tcPr>
            <w:tcW w:w="5405" w:type="dxa"/>
            <w:tcBorders/>
            <w:shd w:fill="CCEEFF" w:val="clear"/>
            <w:vAlign w:val="center"/>
          </w:tcPr>
          <w:p>
            <w:pPr>
              <w:pStyle w:val="TableContents"/>
              <w:bidi w:val="0"/>
              <w:spacing w:before="0" w:after="283"/>
              <w:jc w:val="left"/>
              <w:rPr/>
            </w:pPr>
            <w:hyperlink w:anchor="sk_002">
              <w:r>
                <w:rPr>
                  <w:rStyle w:val="InternetLink"/>
                  <w:rFonts w:ascii="Times New Roman;Times;Serif" w:hAnsi="Times New Roman;Times;Serif"/>
                  <w:b w:val="false"/>
                  <w:i w:val="false"/>
                  <w:caps w:val="false"/>
                  <w:smallCaps w:val="false"/>
                  <w:sz w:val="20"/>
                </w:rPr>
                <w:t>Condensed Consolidated Statements of Operations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5405" w:type="dxa"/>
            <w:tcBorders/>
            <w:shd w:fill="FFFFFF" w:val="clear"/>
            <w:vAlign w:val="center"/>
          </w:tcPr>
          <w:p>
            <w:pPr>
              <w:pStyle w:val="TableContents"/>
              <w:bidi w:val="0"/>
              <w:spacing w:before="0" w:after="283"/>
              <w:jc w:val="left"/>
              <w:rPr/>
            </w:pPr>
            <w:hyperlink w:anchor="sk_003">
              <w:r>
                <w:rPr>
                  <w:rStyle w:val="InternetLink"/>
                  <w:rFonts w:ascii="Times New Roman;Times;Serif" w:hAnsi="Times New Roman;Times;Serif"/>
                  <w:b w:val="false"/>
                  <w:i w:val="false"/>
                  <w:caps w:val="false"/>
                  <w:smallCaps w:val="false"/>
                  <w:sz w:val="20"/>
                </w:rPr>
                <w:t>Condensed Consolidated Statements of Changes in Equity</w:t>
              </w:r>
            </w:hyperlink>
            <w:r>
              <w:rPr>
                <w:rFonts w:ascii="Times New Roman;Times;Serif" w:hAnsi="Times New Roman;Times;Serif"/>
                <w:b w:val="false"/>
                <w:i w:val="false"/>
                <w:caps w:val="false"/>
                <w:smallCaps w:val="false"/>
                <w:sz w:val="20"/>
              </w:rPr>
              <w:t xml:space="preserve"> </w:t>
            </w:r>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F-5 - F-8</w:t>
            </w:r>
          </w:p>
        </w:tc>
      </w:tr>
      <w:tr>
        <w:trPr/>
        <w:tc>
          <w:tcPr>
            <w:tcW w:w="5405" w:type="dxa"/>
            <w:tcBorders/>
            <w:shd w:fill="CCEEFF" w:val="clear"/>
            <w:vAlign w:val="center"/>
          </w:tcPr>
          <w:p>
            <w:pPr>
              <w:pStyle w:val="TableContents"/>
              <w:bidi w:val="0"/>
              <w:spacing w:before="0" w:after="283"/>
              <w:jc w:val="left"/>
              <w:rPr/>
            </w:pPr>
            <w:hyperlink w:anchor="sk_004">
              <w:r>
                <w:rPr>
                  <w:rStyle w:val="InternetLink"/>
                  <w:rFonts w:ascii="Times New Roman;Times;Serif" w:hAnsi="Times New Roman;Times;Serif"/>
                  <w:b w:val="false"/>
                  <w:i w:val="false"/>
                  <w:caps w:val="false"/>
                  <w:smallCaps w:val="false"/>
                  <w:sz w:val="20"/>
                </w:rPr>
                <w:t>Condensed Consolidated Statements of Cash Flows</w:t>
              </w:r>
            </w:hyperlink>
          </w:p>
        </w:tc>
        <w:tc>
          <w:tcPr>
            <w:tcW w:w="9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F-9 </w:t>
            </w:r>
          </w:p>
        </w:tc>
      </w:tr>
      <w:tr>
        <w:trPr/>
        <w:tc>
          <w:tcPr>
            <w:tcW w:w="5405" w:type="dxa"/>
            <w:tcBorders/>
            <w:shd w:fill="FFFFFF" w:val="clear"/>
            <w:vAlign w:val="center"/>
          </w:tcPr>
          <w:p>
            <w:pPr>
              <w:pStyle w:val="TableContents"/>
              <w:bidi w:val="0"/>
              <w:spacing w:before="0" w:after="283"/>
              <w:jc w:val="left"/>
              <w:rPr/>
            </w:pPr>
            <w:hyperlink w:anchor="sk_005">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9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F-10 - F-16</w:t>
            </w:r>
          </w:p>
        </w:tc>
      </w:tr>
    </w:tbl>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bookmarkStart w:id="30" w:name="sk_001"/>
      <w:bookmarkEnd w:id="30"/>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1_111_pn3n3_zj5zqOmlcRA7"/>
      <w:bookmarkStart w:id="32" w:name="xdx_301_111_pn3n3_zj5zqOmlcRA7"/>
      <w:bookmarkEnd w:id="32"/>
    </w:p>
    <w:tbl>
      <w:tblPr>
        <w:tblW w:w="7483" w:type="dxa"/>
        <w:jc w:val="left"/>
        <w:tblInd w:w="0" w:type="dxa"/>
        <w:tblLayout w:type="fixed"/>
        <w:tblCellMar>
          <w:top w:w="0" w:type="dxa"/>
          <w:left w:w="0" w:type="dxa"/>
          <w:bottom w:w="0" w:type="dxa"/>
          <w:right w:w="0" w:type="dxa"/>
        </w:tblCellMar>
      </w:tblPr>
      <w:tblGrid>
        <w:gridCol w:w="4940"/>
        <w:gridCol w:w="60"/>
        <w:gridCol w:w="149"/>
        <w:gridCol w:w="725"/>
        <w:gridCol w:w="60"/>
        <w:gridCol w:w="60"/>
        <w:gridCol w:w="241"/>
        <w:gridCol w:w="1173"/>
        <w:gridCol w:w="75"/>
      </w:tblGrid>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 w:name="xdx_490_20240630_zriH90XUZgpi"/>
            <w:bookmarkEnd w:id="33"/>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8_20231231_zOKnZRqFlo3h"/>
            <w:bookmarkEnd w:id="34"/>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5" w:name="xdx_402_eus-gaap--AssetsAbstract_iB_znVU"/>
            <w:bookmarkEnd w:id="35"/>
          </w:p>
        </w:tc>
      </w:tr>
      <w:tr>
        <w:trPr/>
        <w:tc>
          <w:tcPr>
            <w:tcW w:w="494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 w:name="xdx_404_eus-gaap--AssetsCurrentAbstract_"/>
            <w:bookmarkEnd w:id="36"/>
          </w:p>
        </w:tc>
      </w:tr>
      <w:tr>
        <w:trPr/>
        <w:tc>
          <w:tcPr>
            <w:tcW w:w="494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7" w:name="xdx_40F_eus-gaap--CashAndCashEquivalents"/>
            <w:bookmarkEnd w:id="37"/>
          </w:p>
        </w:tc>
      </w:tr>
      <w:tr>
        <w:trPr/>
        <w:tc>
          <w:tcPr>
            <w:tcW w:w="49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28,385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9,640</w:t>
            </w:r>
          </w:p>
        </w:tc>
        <w:tc>
          <w:tcPr>
            <w:tcW w:w="75" w:type="dxa"/>
            <w:tcBorders/>
            <w:shd w:fill="CCEEFF" w:val="clear"/>
            <w:vAlign w:val="center"/>
          </w:tcPr>
          <w:p>
            <w:pPr>
              <w:pStyle w:val="TableContents"/>
              <w:bidi w:val="0"/>
              <w:spacing w:before="0" w:after="283"/>
              <w:jc w:val="left"/>
              <w:rPr/>
            </w:pPr>
            <w:r>
              <w:rPr/>
              <w:t> </w:t>
            </w:r>
            <w:bookmarkStart w:id="38" w:name="xdx_40B_eus-gaap--MarketableSecuritiesCu"/>
            <w:bookmarkEnd w:id="38"/>
          </w:p>
        </w:tc>
      </w:tr>
      <w:tr>
        <w:trPr/>
        <w:tc>
          <w:tcPr>
            <w:tcW w:w="4940"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18,778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29,383</w:t>
            </w:r>
          </w:p>
        </w:tc>
        <w:tc>
          <w:tcPr>
            <w:tcW w:w="75" w:type="dxa"/>
            <w:tcBorders/>
            <w:shd w:fill="FFFFFF" w:val="clear"/>
            <w:vAlign w:val="center"/>
          </w:tcPr>
          <w:p>
            <w:pPr>
              <w:pStyle w:val="TableContents"/>
              <w:bidi w:val="0"/>
              <w:spacing w:before="0" w:after="283"/>
              <w:jc w:val="left"/>
              <w:rPr/>
            </w:pPr>
            <w:r>
              <w:rPr/>
              <w:t> </w:t>
            </w:r>
            <w:bookmarkStart w:id="39" w:name="xdx_404_eus-gaap--AccountsReceivableNetC"/>
            <w:bookmarkEnd w:id="39"/>
          </w:p>
        </w:tc>
      </w:tr>
      <w:tr>
        <w:trPr/>
        <w:tc>
          <w:tcPr>
            <w:tcW w:w="494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0" w:name="xdx_40E_eus-gaap--AccountsReceivableNetC"/>
            <w:bookmarkEnd w:id="40"/>
          </w:p>
        </w:tc>
      </w:tr>
      <w:tr>
        <w:trPr/>
        <w:tc>
          <w:tcPr>
            <w:tcW w:w="4940" w:type="dxa"/>
            <w:tcBorders/>
            <w:shd w:fill="FFFFFF" w:val="clear"/>
            <w:vAlign w:val="center"/>
          </w:tcPr>
          <w:p>
            <w:pPr>
              <w:pStyle w:val="TableContents"/>
              <w:bidi w:val="0"/>
              <w:spacing w:before="0" w:after="283"/>
              <w:jc w:val="left"/>
              <w:rPr/>
            </w:pPr>
            <w:r>
              <w:rPr/>
              <w:t>Trade,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1,804</w:t>
            </w:r>
          </w:p>
        </w:tc>
        <w:tc>
          <w:tcPr>
            <w:tcW w:w="75" w:type="dxa"/>
            <w:tcBorders/>
            <w:shd w:fill="FFFFFF" w:val="clear"/>
            <w:vAlign w:val="center"/>
          </w:tcPr>
          <w:p>
            <w:pPr>
              <w:pStyle w:val="TableContents"/>
              <w:bidi w:val="0"/>
              <w:spacing w:before="0" w:after="283"/>
              <w:jc w:val="left"/>
              <w:rPr/>
            </w:pPr>
            <w:r>
              <w:rPr/>
              <w:t> </w:t>
            </w:r>
            <w:bookmarkStart w:id="41" w:name="xdx_407_eus-gaap--NontradeReceivablesCur"/>
            <w:bookmarkEnd w:id="41"/>
          </w:p>
        </w:tc>
      </w:tr>
      <w:tr>
        <w:trPr/>
        <w:tc>
          <w:tcPr>
            <w:tcW w:w="494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648</w:t>
            </w:r>
          </w:p>
        </w:tc>
        <w:tc>
          <w:tcPr>
            <w:tcW w:w="75" w:type="dxa"/>
            <w:tcBorders/>
            <w:shd w:fill="CCEEFF" w:val="clear"/>
            <w:vAlign w:val="center"/>
          </w:tcPr>
          <w:p>
            <w:pPr>
              <w:pStyle w:val="TableContents"/>
              <w:bidi w:val="0"/>
              <w:spacing w:before="0" w:after="283"/>
              <w:jc w:val="left"/>
              <w:rPr/>
            </w:pPr>
            <w:r>
              <w:rPr/>
              <w:t> </w:t>
            </w:r>
            <w:bookmarkStart w:id="42" w:name="xdx_404_eus-gaap--PrepaidExpenseCurrent_"/>
            <w:bookmarkEnd w:id="42"/>
          </w:p>
        </w:tc>
      </w:tr>
      <w:tr>
        <w:trPr/>
        <w:tc>
          <w:tcPr>
            <w:tcW w:w="494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578</w:t>
            </w:r>
          </w:p>
        </w:tc>
        <w:tc>
          <w:tcPr>
            <w:tcW w:w="75" w:type="dxa"/>
            <w:tcBorders/>
            <w:shd w:fill="FFFFFF" w:val="clear"/>
            <w:vAlign w:val="center"/>
          </w:tcPr>
          <w:p>
            <w:pPr>
              <w:pStyle w:val="TableContents"/>
              <w:bidi w:val="0"/>
              <w:spacing w:before="0" w:after="283"/>
              <w:jc w:val="left"/>
              <w:rPr/>
            </w:pPr>
            <w:r>
              <w:rPr/>
              <w:t> </w:t>
            </w:r>
            <w:bookmarkStart w:id="43" w:name="xdx_403_eus-gaap--InventoryNet_i02I_maCz"/>
            <w:bookmarkEnd w:id="43"/>
          </w:p>
        </w:tc>
      </w:tr>
      <w:tr>
        <w:trPr/>
        <w:tc>
          <w:tcPr>
            <w:tcW w:w="494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2,206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2,106</w:t>
            </w:r>
          </w:p>
        </w:tc>
        <w:tc>
          <w:tcPr>
            <w:tcW w:w="75" w:type="dxa"/>
            <w:tcBorders/>
            <w:shd w:fill="CCEEFF" w:val="clear"/>
            <w:vAlign w:val="center"/>
          </w:tcPr>
          <w:p>
            <w:pPr>
              <w:pStyle w:val="TableContents"/>
              <w:bidi w:val="0"/>
              <w:spacing w:before="0" w:after="283"/>
              <w:jc w:val="left"/>
              <w:rPr/>
            </w:pPr>
            <w:r>
              <w:rPr/>
              <w:t> </w:t>
            </w:r>
            <w:bookmarkStart w:id="44" w:name="xdx_403_eus-gaap--AssetsCurrent_i02TI_mt"/>
            <w:bookmarkEnd w:id="44"/>
          </w:p>
        </w:tc>
      </w:tr>
      <w:tr>
        <w:trPr/>
        <w:tc>
          <w:tcPr>
            <w:tcW w:w="494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51,843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44,159</w:t>
            </w:r>
          </w:p>
        </w:tc>
        <w:tc>
          <w:tcPr>
            <w:tcW w:w="7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5" w:name="xdx_40F_eus-gaap--AssetsNoncurrentAbstra"/>
            <w:bookmarkEnd w:id="45"/>
          </w:p>
        </w:tc>
      </w:tr>
      <w:tr>
        <w:trPr/>
        <w:tc>
          <w:tcPr>
            <w:tcW w:w="494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6" w:name="xdx_40E_eus-gaap--PropertyPlantAndEquipm"/>
            <w:bookmarkEnd w:id="46"/>
          </w:p>
        </w:tc>
      </w:tr>
      <w:tr>
        <w:trPr/>
        <w:tc>
          <w:tcPr>
            <w:tcW w:w="494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1,060</w:t>
            </w:r>
          </w:p>
        </w:tc>
        <w:tc>
          <w:tcPr>
            <w:tcW w:w="75" w:type="dxa"/>
            <w:tcBorders/>
            <w:shd w:fill="CCEEFF" w:val="clear"/>
            <w:vAlign w:val="center"/>
          </w:tcPr>
          <w:p>
            <w:pPr>
              <w:pStyle w:val="TableContents"/>
              <w:bidi w:val="0"/>
              <w:spacing w:before="0" w:after="283"/>
              <w:jc w:val="left"/>
              <w:rPr/>
            </w:pPr>
            <w:r>
              <w:rPr/>
              <w:t> </w:t>
            </w:r>
            <w:bookmarkStart w:id="47" w:name="xdx_40F_eus-gaap--OperatingLeaseRightOfU"/>
            <w:bookmarkEnd w:id="47"/>
          </w:p>
        </w:tc>
      </w:tr>
      <w:tr>
        <w:trPr/>
        <w:tc>
          <w:tcPr>
            <w:tcW w:w="4940" w:type="dxa"/>
            <w:tcBorders/>
            <w:shd w:fill="FFFFFF" w:val="clear"/>
            <w:vAlign w:val="center"/>
          </w:tcPr>
          <w:p>
            <w:pPr>
              <w:pStyle w:val="TableContents"/>
              <w:bidi w:val="0"/>
              <w:spacing w:before="0" w:after="283"/>
              <w:jc w:val="left"/>
              <w:rPr/>
            </w:pPr>
            <w:r>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1,473</w:t>
            </w:r>
          </w:p>
        </w:tc>
        <w:tc>
          <w:tcPr>
            <w:tcW w:w="75" w:type="dxa"/>
            <w:tcBorders/>
            <w:shd w:fill="FFFFFF" w:val="clear"/>
            <w:vAlign w:val="center"/>
          </w:tcPr>
          <w:p>
            <w:pPr>
              <w:pStyle w:val="TableContents"/>
              <w:bidi w:val="0"/>
              <w:spacing w:before="0" w:after="283"/>
              <w:jc w:val="left"/>
              <w:rPr/>
            </w:pPr>
            <w:r>
              <w:rPr/>
              <w:t> </w:t>
            </w:r>
            <w:bookmarkStart w:id="48" w:name="xdx_408_eus-gaap--DefinedBenefitPlanAsse"/>
            <w:bookmarkEnd w:id="48"/>
          </w:p>
        </w:tc>
      </w:tr>
      <w:tr>
        <w:trPr/>
        <w:tc>
          <w:tcPr>
            <w:tcW w:w="4940" w:type="dxa"/>
            <w:tcBorders/>
            <w:shd w:fill="CCEEFF" w:val="clear"/>
            <w:vAlign w:val="center"/>
          </w:tcPr>
          <w:p>
            <w:pPr>
              <w:pStyle w:val="TableContents"/>
              <w:bidi w:val="0"/>
              <w:spacing w:before="0" w:after="283"/>
              <w:jc w:val="left"/>
              <w:rPr/>
            </w:pPr>
            <w:r>
              <w:rPr/>
              <w:t>Funds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951</w:t>
            </w:r>
          </w:p>
        </w:tc>
        <w:tc>
          <w:tcPr>
            <w:tcW w:w="75" w:type="dxa"/>
            <w:tcBorders/>
            <w:shd w:fill="CCEEFF" w:val="clear"/>
            <w:vAlign w:val="center"/>
          </w:tcPr>
          <w:p>
            <w:pPr>
              <w:pStyle w:val="TableContents"/>
              <w:bidi w:val="0"/>
              <w:spacing w:before="0" w:after="283"/>
              <w:jc w:val="left"/>
              <w:rPr/>
            </w:pPr>
            <w:r>
              <w:rPr/>
              <w:t> </w:t>
            </w:r>
            <w:bookmarkStart w:id="49" w:name="xdx_408_eus-gaap--AssetsNoncurrent_i02TI"/>
            <w:bookmarkEnd w:id="49"/>
          </w:p>
        </w:tc>
      </w:tr>
      <w:tr>
        <w:trPr/>
        <w:tc>
          <w:tcPr>
            <w:tcW w:w="494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3,484</w:t>
            </w:r>
          </w:p>
        </w:tc>
        <w:tc>
          <w:tcPr>
            <w:tcW w:w="75" w:type="dxa"/>
            <w:tcBorders/>
            <w:shd w:fill="FFFFFF" w:val="clear"/>
            <w:vAlign w:val="center"/>
          </w:tcPr>
          <w:p>
            <w:pPr>
              <w:pStyle w:val="TableContents"/>
              <w:bidi w:val="0"/>
              <w:spacing w:before="0" w:after="283"/>
              <w:jc w:val="left"/>
              <w:rPr/>
            </w:pPr>
            <w:r>
              <w:rPr/>
              <w:t> </w:t>
            </w:r>
            <w:bookmarkStart w:id="50" w:name="xdx_40E_eus-gaap--Assets_i01TI_mtCziGK_z"/>
            <w:bookmarkEnd w:id="50"/>
          </w:p>
        </w:tc>
      </w:tr>
      <w:tr>
        <w:trPr/>
        <w:tc>
          <w:tcPr>
            <w:tcW w:w="494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55,659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47,643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other than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7"/>
        <w:gridCol w:w="60"/>
        <w:gridCol w:w="140"/>
        <w:gridCol w:w="875"/>
        <w:gridCol w:w="95"/>
        <w:gridCol w:w="60"/>
        <w:gridCol w:w="159"/>
        <w:gridCol w:w="998"/>
        <w:gridCol w:w="111"/>
      </w:tblGrid>
      <w:tr>
        <w:trPr/>
        <w:tc>
          <w:tcPr>
            <w:tcW w:w="7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center"/>
              <w:rPr>
                <w:b/>
              </w:rPr>
            </w:pPr>
            <w:r>
              <w:rPr>
                <w:b/>
              </w:rPr>
              <w:t>December 31,</w:t>
            </w:r>
          </w:p>
        </w:tc>
        <w:tc>
          <w:tcPr>
            <w:tcW w:w="111" w:type="dxa"/>
            <w:tcBorders/>
            <w:vAlign w:val="center"/>
          </w:tcPr>
          <w:p>
            <w:pPr>
              <w:pStyle w:val="TableContents"/>
              <w:bidi w:val="0"/>
              <w:spacing w:before="0" w:after="283"/>
              <w:jc w:val="left"/>
              <w:rPr/>
            </w:pPr>
            <w:r>
              <w:rPr/>
              <w:t> </w:t>
            </w:r>
          </w:p>
        </w:tc>
      </w:tr>
      <w:tr>
        <w:trPr/>
        <w:tc>
          <w:tcPr>
            <w:tcW w:w="7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1" w:type="dxa"/>
            <w:tcBorders/>
            <w:vAlign w:val="center"/>
          </w:tcPr>
          <w:p>
            <w:pPr>
              <w:pStyle w:val="TableContents"/>
              <w:bidi w:val="0"/>
              <w:spacing w:before="0" w:after="283"/>
              <w:jc w:val="left"/>
              <w:rPr/>
            </w:pPr>
            <w:r>
              <w:rPr/>
              <w:t> </w:t>
            </w:r>
            <w:bookmarkStart w:id="51" w:name="xdx_404_eus-gaap--LiabilitiesAndStockhol"/>
            <w:bookmarkEnd w:id="51"/>
          </w:p>
        </w:tc>
      </w:tr>
      <w:tr>
        <w:trPr/>
        <w:tc>
          <w:tcPr>
            <w:tcW w:w="7707" w:type="dxa"/>
            <w:tcBorders/>
            <w:shd w:fill="CCEEFF" w:val="clear"/>
            <w:vAlign w:val="center"/>
          </w:tcPr>
          <w:p>
            <w:pPr>
              <w:pStyle w:val="TableContents"/>
              <w:bidi w:val="0"/>
              <w:spacing w:before="0" w:after="283"/>
              <w:jc w:val="center"/>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2" w:name="xdx_40B_eus-gaap--LiabilitiesCurrentAbst"/>
            <w:bookmarkEnd w:id="52"/>
          </w:p>
        </w:tc>
      </w:tr>
      <w:tr>
        <w:trPr/>
        <w:tc>
          <w:tcPr>
            <w:tcW w:w="7707"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3" w:name="xdx_403_eus-gaap--AccountsPayableAndAccr"/>
            <w:bookmarkEnd w:id="53"/>
          </w:p>
        </w:tc>
      </w:tr>
      <w:tr>
        <w:trPr/>
        <w:tc>
          <w:tcPr>
            <w:tcW w:w="7707" w:type="dxa"/>
            <w:tcBorders/>
            <w:shd w:fill="FFFFFF" w:val="clear"/>
            <w:vAlign w:val="center"/>
          </w:tcPr>
          <w:p>
            <w:pPr>
              <w:pStyle w:val="TableContents"/>
              <w:bidi w:val="0"/>
              <w:spacing w:before="0" w:after="283"/>
              <w:jc w:val="left"/>
              <w:rPr/>
            </w:pPr>
            <w:r>
              <w:rPr/>
              <w:t>Accounts payable and accruals: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4" w:name="xdx_402_eus-gaap--AccountsPayableTradeCu"/>
            <w:bookmarkEnd w:id="54"/>
          </w:p>
        </w:tc>
      </w:tr>
      <w:tr>
        <w:trPr/>
        <w:tc>
          <w:tcPr>
            <w:tcW w:w="7707" w:type="dxa"/>
            <w:tcBorders/>
            <w:shd w:fill="CCEEFF" w:val="clear"/>
            <w:vAlign w:val="center"/>
          </w:tcPr>
          <w:p>
            <w:pPr>
              <w:pStyle w:val="TableContents"/>
              <w:bidi w:val="0"/>
              <w:spacing w:before="0" w:after="283"/>
              <w:jc w:val="left"/>
              <w:rPr/>
            </w:pPr>
            <w:r>
              <w:rPr/>
              <w:t>Trade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939</w:t>
            </w:r>
          </w:p>
        </w:tc>
        <w:tc>
          <w:tcPr>
            <w:tcW w:w="111" w:type="dxa"/>
            <w:tcBorders/>
            <w:shd w:fill="CCEEFF" w:val="clear"/>
            <w:vAlign w:val="center"/>
          </w:tcPr>
          <w:p>
            <w:pPr>
              <w:pStyle w:val="TableContents"/>
              <w:bidi w:val="0"/>
              <w:spacing w:before="0" w:after="283"/>
              <w:jc w:val="left"/>
              <w:rPr/>
            </w:pPr>
            <w:r>
              <w:rPr/>
              <w:t> </w:t>
            </w:r>
            <w:bookmarkStart w:id="55" w:name="xdx_40D_eus-gaap--AccountsPayableOtherCu"/>
            <w:bookmarkEnd w:id="55"/>
          </w:p>
        </w:tc>
      </w:tr>
      <w:tr>
        <w:trPr/>
        <w:tc>
          <w:tcPr>
            <w:tcW w:w="7707"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5,081</w:t>
            </w:r>
          </w:p>
        </w:tc>
        <w:tc>
          <w:tcPr>
            <w:tcW w:w="111" w:type="dxa"/>
            <w:tcBorders/>
            <w:shd w:fill="FFFFFF" w:val="clear"/>
            <w:vAlign w:val="center"/>
          </w:tcPr>
          <w:p>
            <w:pPr>
              <w:pStyle w:val="TableContents"/>
              <w:bidi w:val="0"/>
              <w:spacing w:before="0" w:after="283"/>
              <w:jc w:val="left"/>
              <w:rPr/>
            </w:pPr>
            <w:r>
              <w:rPr/>
              <w:t> </w:t>
            </w:r>
            <w:bookmarkStart w:id="56" w:name="xdx_408_eus-gaap--LiabilitiesCurrent_i02"/>
            <w:bookmarkEnd w:id="56"/>
          </w:p>
        </w:tc>
      </w:tr>
      <w:tr>
        <w:trPr/>
        <w:tc>
          <w:tcPr>
            <w:tcW w:w="7707"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6,020</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57" w:name="xdx_402_eus-gaap--LiabilitiesNoncurrentA"/>
            <w:bookmarkEnd w:id="57"/>
          </w:p>
        </w:tc>
      </w:tr>
      <w:tr>
        <w:trPr/>
        <w:tc>
          <w:tcPr>
            <w:tcW w:w="7707" w:type="dxa"/>
            <w:tcBorders/>
            <w:shd w:fill="CCEEFF" w:val="clear"/>
            <w:vAlign w:val="center"/>
          </w:tcPr>
          <w:p>
            <w:pPr>
              <w:pStyle w:val="TableContents"/>
              <w:bidi w:val="0"/>
              <w:spacing w:before="0" w:after="283"/>
              <w:jc w:val="left"/>
              <w:rPr>
                <w:b/>
              </w:rPr>
            </w:pPr>
            <w:r>
              <w:rPr>
                <w:b/>
              </w:rPr>
              <w:t>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58" w:name="xdx_40D_eus-gaap--OperatingLeaseLiabilit"/>
            <w:bookmarkEnd w:id="58"/>
          </w:p>
        </w:tc>
      </w:tr>
      <w:tr>
        <w:trPr/>
        <w:tc>
          <w:tcPr>
            <w:tcW w:w="7707"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1,038</w:t>
            </w:r>
          </w:p>
        </w:tc>
        <w:tc>
          <w:tcPr>
            <w:tcW w:w="111" w:type="dxa"/>
            <w:tcBorders/>
            <w:shd w:fill="FFFFFF" w:val="clear"/>
            <w:vAlign w:val="center"/>
          </w:tcPr>
          <w:p>
            <w:pPr>
              <w:pStyle w:val="TableContents"/>
              <w:bidi w:val="0"/>
              <w:spacing w:before="0" w:after="283"/>
              <w:jc w:val="left"/>
              <w:rPr/>
            </w:pPr>
            <w:r>
              <w:rPr/>
              <w:t> </w:t>
            </w:r>
            <w:bookmarkStart w:id="59" w:name="xdx_40F_eus-gaap--PensionAndOtherPostret"/>
            <w:bookmarkEnd w:id="59"/>
          </w:p>
        </w:tc>
      </w:tr>
      <w:tr>
        <w:trPr/>
        <w:tc>
          <w:tcPr>
            <w:tcW w:w="7707" w:type="dxa"/>
            <w:tcBorders/>
            <w:shd w:fill="CCEEFF" w:val="clear"/>
            <w:vAlign w:val="center"/>
          </w:tcPr>
          <w:p>
            <w:pPr>
              <w:pStyle w:val="TableContents"/>
              <w:bidi w:val="0"/>
              <w:spacing w:before="0" w:after="283"/>
              <w:jc w:val="left"/>
              <w:rPr/>
            </w:pPr>
            <w:r>
              <w:rPr/>
              <w:t>Liability for employees’ rights upon retirement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1,084</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0" w:name="xdx_408_eus-gaap--LiabilitiesNoncurrent_"/>
            <w:bookmarkEnd w:id="60"/>
          </w:p>
        </w:tc>
      </w:tr>
      <w:tr>
        <w:trPr/>
        <w:tc>
          <w:tcPr>
            <w:tcW w:w="7707" w:type="dxa"/>
            <w:tcBorders/>
            <w:shd w:fill="CCEEFF" w:val="clear"/>
            <w:vAlign w:val="center"/>
          </w:tcPr>
          <w:p>
            <w:pPr>
              <w:pStyle w:val="TableContents"/>
              <w:bidi w:val="0"/>
              <w:spacing w:before="0" w:after="283"/>
              <w:jc w:val="left"/>
              <w:rPr>
                <w:b/>
              </w:rPr>
            </w:pPr>
            <w:r>
              <w:rPr>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2,122</w:t>
            </w:r>
          </w:p>
        </w:tc>
        <w:tc>
          <w:tcPr>
            <w:tcW w:w="111" w:type="dxa"/>
            <w:tcBorders/>
            <w:shd w:fill="CCEEFF" w:val="clear"/>
            <w:vAlign w:val="center"/>
          </w:tcPr>
          <w:p>
            <w:pPr>
              <w:pStyle w:val="TableContents"/>
              <w:bidi w:val="0"/>
              <w:spacing w:before="0" w:after="283"/>
              <w:jc w:val="left"/>
              <w:rPr/>
            </w:pPr>
            <w:r>
              <w:rPr/>
              <w:t> </w:t>
            </w:r>
          </w:p>
        </w:tc>
      </w:tr>
      <w:tr>
        <w:trPr/>
        <w:tc>
          <w:tcPr>
            <w:tcW w:w="77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61" w:name="xdx_403_eus-gaap--CommitmentsAndContinge"/>
            <w:bookmarkEnd w:id="61"/>
          </w:p>
        </w:tc>
      </w:tr>
      <w:tr>
        <w:trPr/>
        <w:tc>
          <w:tcPr>
            <w:tcW w:w="7707" w:type="dxa"/>
            <w:tcBorders/>
            <w:shd w:fill="CCEEFF" w:val="clear"/>
            <w:vAlign w:val="center"/>
          </w:tcPr>
          <w:p>
            <w:pPr>
              <w:pStyle w:val="TableContents"/>
              <w:bidi w:val="0"/>
              <w:spacing w:before="0" w:after="283"/>
              <w:jc w:val="left"/>
              <w:rPr>
                <w:b/>
              </w:rPr>
            </w:pPr>
            <w:r>
              <w:rPr>
                <w:b/>
              </w:rPr>
              <w:t>COMMITMENTS AND CONTINGENT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bookmarkStart w:id="62" w:name="xdx_40F_eus-gaap--Liabilities_i01TI_mtCz"/>
            <w:bookmarkEnd w:id="62"/>
          </w:p>
        </w:tc>
      </w:tr>
      <w:tr>
        <w:trPr/>
        <w:tc>
          <w:tcPr>
            <w:tcW w:w="7707"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8,142</w:t>
            </w:r>
          </w:p>
        </w:tc>
        <w:tc>
          <w:tcPr>
            <w:tcW w:w="111" w:type="dxa"/>
            <w:tcBorders/>
            <w:shd w:fill="FFFFFF" w:val="clear"/>
            <w:vAlign w:val="center"/>
          </w:tcPr>
          <w:p>
            <w:pPr>
              <w:pStyle w:val="TableContents"/>
              <w:bidi w:val="0"/>
              <w:spacing w:before="0" w:after="283"/>
              <w:jc w:val="left"/>
              <w:rPr/>
            </w:pPr>
            <w:r>
              <w:rPr/>
              <w:t> </w:t>
            </w:r>
          </w:p>
        </w:tc>
      </w:tr>
      <w:tr>
        <w:trPr/>
        <w:tc>
          <w:tcPr>
            <w:tcW w:w="7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3" w:name="xdx_405_eus-gaap--StockholdersEquityAbst"/>
            <w:bookmarkEnd w:id="63"/>
          </w:p>
        </w:tc>
      </w:tr>
      <w:tr>
        <w:trPr/>
        <w:tc>
          <w:tcPr>
            <w:tcW w:w="7707"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bookmarkStart w:id="64" w:name="xdx_40D_eus-gaap--CommonStockValue_i02I_"/>
            <w:bookmarkEnd w:id="64"/>
          </w:p>
        </w:tc>
      </w:tr>
      <w:tr>
        <w:trPr/>
        <w:tc>
          <w:tcPr>
            <w:tcW w:w="7707" w:type="dxa"/>
            <w:tcBorders/>
            <w:shd w:fill="FFFFFF" w:val="clear"/>
            <w:vAlign w:val="center"/>
          </w:tcPr>
          <w:p>
            <w:pPr>
              <w:pStyle w:val="TableContents"/>
              <w:bidi w:val="0"/>
              <w:spacing w:before="0" w:after="283"/>
              <w:jc w:val="left"/>
              <w:rPr/>
            </w:pPr>
            <w:r>
              <w:rPr/>
              <w:t>Common stock, par value $</w:t>
            </w:r>
            <w:bookmarkStart w:id="65" w:name="xdx_90E_eus-gaap--CommonStockParOrStated"/>
            <w:bookmarkStart w:id="66" w:name="xdx_909_eus-gaap--CommonStockParOrStated"/>
            <w:bookmarkEnd w:id="65"/>
            <w:bookmarkEnd w:id="66"/>
            <w:r>
              <w:rPr/>
              <w:t xml:space="preserve">0.0001 per share; </w:t>
            </w:r>
            <w:bookmarkStart w:id="67" w:name="xdx_906_eus-gaap--CommonStockSharesAutho"/>
            <w:bookmarkStart w:id="68" w:name="xdx_908_eus-gaap--CommonStockSharesAutho"/>
            <w:bookmarkEnd w:id="67"/>
            <w:bookmarkEnd w:id="68"/>
            <w:r>
              <w:rPr/>
              <w:t xml:space="preserve">150,000,000 shares authorized at June 30, 2024 and December 31, 2023; </w:t>
            </w:r>
            <w:bookmarkStart w:id="69" w:name="xdx_904_eus-gaap--CommonStockSharesOutst"/>
            <w:bookmarkStart w:id="70" w:name="xdx_907_eus-gaap--CommonStockSharesIssue"/>
            <w:bookmarkEnd w:id="69"/>
            <w:bookmarkEnd w:id="70"/>
            <w:r>
              <w:rPr/>
              <w:t xml:space="preserve">25,196,479 and </w:t>
            </w:r>
            <w:bookmarkStart w:id="71" w:name="xdx_90F_eus-gaap--CommonStockSharesOutst"/>
            <w:bookmarkStart w:id="72" w:name="xdx_909_eus-gaap--CommonStockSharesIssue"/>
            <w:bookmarkEnd w:id="71"/>
            <w:bookmarkEnd w:id="72"/>
            <w:r>
              <w:rPr/>
              <w:t>21,841,215 shares issued and outstanding at June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w:t>
            </w:r>
          </w:p>
        </w:tc>
        <w:tc>
          <w:tcPr>
            <w:tcW w:w="111" w:type="dxa"/>
            <w:tcBorders/>
            <w:shd w:fill="FFFFFF" w:val="clear"/>
            <w:vAlign w:val="center"/>
          </w:tcPr>
          <w:p>
            <w:pPr>
              <w:pStyle w:val="TableContents"/>
              <w:bidi w:val="0"/>
              <w:spacing w:before="0" w:after="283"/>
              <w:jc w:val="left"/>
              <w:rPr/>
            </w:pPr>
            <w:r>
              <w:rPr/>
              <w:t> </w:t>
            </w:r>
            <w:bookmarkStart w:id="73" w:name="xdx_401_eus-gaap--PreferredStockValue_i0"/>
            <w:bookmarkEnd w:id="73"/>
          </w:p>
        </w:tc>
      </w:tr>
      <w:tr>
        <w:trPr/>
        <w:tc>
          <w:tcPr>
            <w:tcW w:w="7707" w:type="dxa"/>
            <w:tcBorders/>
            <w:shd w:fill="CCEEFF" w:val="clear"/>
            <w:vAlign w:val="center"/>
          </w:tcPr>
          <w:p>
            <w:pPr>
              <w:pStyle w:val="TableContents"/>
              <w:bidi w:val="0"/>
              <w:spacing w:before="0" w:after="283"/>
              <w:jc w:val="left"/>
              <w:rPr/>
            </w:pPr>
            <w:r>
              <w:rPr/>
              <w:t>Preferred C shares, par value $</w:t>
            </w:r>
            <w:bookmarkStart w:id="74" w:name="xdx_903_eus-gaap--PreferredStockParOrSta"/>
            <w:bookmarkStart w:id="75" w:name="xdx_90A_eus-gaap--PreferredStockParOrSta"/>
            <w:bookmarkEnd w:id="74"/>
            <w:bookmarkEnd w:id="75"/>
            <w:r>
              <w:rPr/>
              <w:t xml:space="preserve">0.0001 per share; </w:t>
              <w:br/>
            </w:r>
            <w:bookmarkStart w:id="76" w:name="xdx_907_eus-gaap--PreferredStockSharesAu"/>
            <w:bookmarkStart w:id="77" w:name="xdx_90C_eus-gaap--PreferredStockSharesAu"/>
            <w:bookmarkEnd w:id="76"/>
            <w:bookmarkEnd w:id="77"/>
            <w:r>
              <w:rPr/>
              <w:t xml:space="preserve">1,172,000 shares authorized at June 30, 2024 and December 31, 2023; </w:t>
            </w:r>
            <w:bookmarkStart w:id="78" w:name="xdx_909_eus-gaap--PreferredStockSharesOu"/>
            <w:bookmarkStart w:id="79" w:name="xdx_90A_eus-gaap--PreferredStockSharesIs"/>
            <w:bookmarkStart w:id="80" w:name="xdx_908_eus-gaap--PreferredStockSharesOu"/>
            <w:bookmarkStart w:id="81" w:name="xdx_90A_eus-gaap--PreferredStockSharesIs"/>
            <w:bookmarkEnd w:id="78"/>
            <w:bookmarkEnd w:id="79"/>
            <w:bookmarkEnd w:id="80"/>
            <w:bookmarkEnd w:id="81"/>
            <w:r>
              <w:rPr/>
              <w:t>1,718 shares issued and outstanding at June 30, 2024 and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82" w:name="xdx_F20_zntAVT7HyjVi"/>
            <w:bookmarkEnd w:id="82"/>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83" w:name="xdx_F25_z9xE2JWZK2Al"/>
            <w:bookmarkEnd w:id="83"/>
            <w:r>
              <w:rPr/>
              <w:t>*</w:t>
            </w:r>
          </w:p>
        </w:tc>
        <w:tc>
          <w:tcPr>
            <w:tcW w:w="111" w:type="dxa"/>
            <w:tcBorders/>
            <w:shd w:fill="CCEEFF" w:val="clear"/>
            <w:vAlign w:val="center"/>
          </w:tcPr>
          <w:p>
            <w:pPr>
              <w:pStyle w:val="TableContents"/>
              <w:bidi w:val="0"/>
              <w:spacing w:before="0" w:after="283"/>
              <w:jc w:val="left"/>
              <w:rPr/>
            </w:pPr>
            <w:r>
              <w:rPr/>
              <w:t> </w:t>
            </w:r>
            <w:bookmarkStart w:id="84" w:name="xdx_401_eus-gaap--AdditionalPaidInCapita"/>
            <w:bookmarkEnd w:id="84"/>
          </w:p>
        </w:tc>
      </w:tr>
      <w:tr>
        <w:trPr/>
        <w:tc>
          <w:tcPr>
            <w:tcW w:w="770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283,202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pPr>
            <w:r>
              <w:rPr/>
              <w:t>261,000</w:t>
            </w:r>
          </w:p>
        </w:tc>
        <w:tc>
          <w:tcPr>
            <w:tcW w:w="111" w:type="dxa"/>
            <w:tcBorders/>
            <w:shd w:fill="FFFFFF" w:val="clear"/>
            <w:vAlign w:val="center"/>
          </w:tcPr>
          <w:p>
            <w:pPr>
              <w:pStyle w:val="TableContents"/>
              <w:bidi w:val="0"/>
              <w:spacing w:before="0" w:after="283"/>
              <w:jc w:val="left"/>
              <w:rPr/>
            </w:pPr>
            <w:r>
              <w:rPr/>
              <w:t> </w:t>
            </w:r>
            <w:bookmarkStart w:id="85" w:name="xdx_40F_eus-gaap--RetainedEarningsAccumu"/>
            <w:bookmarkEnd w:id="85"/>
          </w:p>
        </w:tc>
      </w:tr>
      <w:tr>
        <w:trPr/>
        <w:tc>
          <w:tcPr>
            <w:tcW w:w="770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(236,442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(221,501</w:t>
            </w:r>
          </w:p>
        </w:tc>
        <w:tc>
          <w:tcPr>
            <w:tcW w:w="111" w:type="dxa"/>
            <w:tcBorders/>
            <w:shd w:fill="CCEEFF" w:val="clear"/>
            <w:vAlign w:val="center"/>
          </w:tcPr>
          <w:p>
            <w:pPr>
              <w:pStyle w:val="TableContents"/>
              <w:bidi w:val="0"/>
              <w:spacing w:before="0" w:after="283"/>
              <w:jc w:val="left"/>
              <w:rPr/>
            </w:pPr>
            <w:r>
              <w:rPr/>
              <w:t>)</w:t>
            </w:r>
            <w:bookmarkStart w:id="86" w:name="xdx_405_eus-gaap--StockholdersEquity_i02"/>
            <w:bookmarkEnd w:id="86"/>
          </w:p>
        </w:tc>
      </w:tr>
      <w:tr>
        <w:trPr/>
        <w:tc>
          <w:tcPr>
            <w:tcW w:w="7707"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46,763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FFFFFF" w:val="clear"/>
            <w:tcMar>
              <w:bottom w:w="28" w:type="dxa"/>
            </w:tcMar>
            <w:vAlign w:val="center"/>
          </w:tcPr>
          <w:p>
            <w:pPr>
              <w:pStyle w:val="TableContents"/>
              <w:bidi w:val="0"/>
              <w:spacing w:before="0" w:after="283"/>
              <w:jc w:val="right"/>
              <w:rPr/>
            </w:pPr>
            <w:r>
              <w:rPr/>
              <w:t>39,501</w:t>
            </w:r>
          </w:p>
        </w:tc>
        <w:tc>
          <w:tcPr>
            <w:tcW w:w="111" w:type="dxa"/>
            <w:tcBorders/>
            <w:shd w:fill="FFFFFF" w:val="clear"/>
            <w:vAlign w:val="center"/>
          </w:tcPr>
          <w:p>
            <w:pPr>
              <w:pStyle w:val="TableContents"/>
              <w:bidi w:val="0"/>
              <w:spacing w:before="0" w:after="283"/>
              <w:jc w:val="left"/>
              <w:rPr/>
            </w:pPr>
            <w:r>
              <w:rPr/>
              <w:t> </w:t>
            </w:r>
            <w:bookmarkStart w:id="87" w:name="xdx_408_eus-gaap--LiabilitiesAndStockhol"/>
            <w:bookmarkEnd w:id="87"/>
          </w:p>
        </w:tc>
      </w:tr>
      <w:tr>
        <w:trPr/>
        <w:tc>
          <w:tcPr>
            <w:tcW w:w="7707" w:type="dxa"/>
            <w:tcBorders/>
            <w:shd w:fill="CCEEFF" w:val="clear"/>
            <w:vAlign w:val="center"/>
          </w:tcPr>
          <w:p>
            <w:pPr>
              <w:pStyle w:val="TableContents"/>
              <w:bidi w:val="0"/>
              <w:spacing w:before="0" w:after="283"/>
              <w:jc w:val="left"/>
              <w:rPr/>
            </w:pPr>
            <w:r>
              <w:rPr/>
              <w:t>Total 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55,659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jc w:val="right"/>
              <w:rPr/>
            </w:pPr>
            <w:r>
              <w:rPr/>
              <w:t>47,643</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88" w:name="xdx_F07_zqh9XermenR5"/>
            <w:bookmarkEnd w:id="88"/>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89" w:name="xdx_F16_zPmiKRRLEqXd"/>
            <w:bookmarkEnd w:id="89"/>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bookmarkStart w:id="90" w:name="sk_002"/>
      <w:bookmarkEnd w:id="90"/>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1" w:name="xdx_308_113_pn3n3_zw1mpLRpYEr1"/>
      <w:bookmarkStart w:id="92" w:name="xdx_308_113_pn3n3_zw1mpLRpYEr1"/>
      <w:bookmarkEnd w:id="92"/>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 w:name="xdx_499_20240401__20240630_zxv8NNQoDBx2"/>
            <w:bookmarkEnd w:id="93"/>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1_20230401__20230630_zkMVJQ0UYkKa"/>
            <w:bookmarkEnd w:id="94"/>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D_20240101__20240630_zP1DxARROP91"/>
            <w:bookmarkEnd w:id="95"/>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F_20230101__20230630_zlPcMAuhxeW2"/>
            <w:bookmarkEnd w:id="96"/>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97" w:name="xdx_40A_eus-gaap--RevenueFromContractWit"/>
            <w:bookmarkEnd w:id="97"/>
          </w:p>
        </w:tc>
      </w:tr>
      <w:tr>
        <w:trPr/>
        <w:tc>
          <w:tcPr>
            <w:tcW w:w="46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2,888</w:t>
            </w:r>
          </w:p>
        </w:tc>
        <w:tc>
          <w:tcPr>
            <w:tcW w:w="110" w:type="dxa"/>
            <w:tcBorders/>
            <w:shd w:fill="CCEEFF" w:val="clear"/>
            <w:vAlign w:val="center"/>
          </w:tcPr>
          <w:p>
            <w:pPr>
              <w:pStyle w:val="TableContents"/>
              <w:bidi w:val="0"/>
              <w:spacing w:before="0" w:after="283"/>
              <w:jc w:val="left"/>
              <w:rPr/>
            </w:pPr>
            <w:r>
              <w:rPr/>
              <w:t> </w:t>
            </w:r>
            <w:bookmarkStart w:id="98" w:name="xdx_40B_eus-gaap--CostOfGoodsAndServices"/>
            <w:bookmarkEnd w:id="98"/>
          </w:p>
        </w:tc>
      </w:tr>
      <w:tr>
        <w:trPr/>
        <w:tc>
          <w:tcPr>
            <w:tcW w:w="461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2,024</w:t>
            </w:r>
          </w:p>
        </w:tc>
        <w:tc>
          <w:tcPr>
            <w:tcW w:w="110" w:type="dxa"/>
            <w:tcBorders/>
            <w:shd w:fill="FFFFFF" w:val="clear"/>
            <w:vAlign w:val="center"/>
          </w:tcPr>
          <w:p>
            <w:pPr>
              <w:pStyle w:val="TableContents"/>
              <w:bidi w:val="0"/>
              <w:spacing w:before="0" w:after="283"/>
              <w:jc w:val="left"/>
              <w:rPr/>
            </w:pPr>
            <w:r>
              <w:rPr/>
              <w:t> </w:t>
            </w:r>
            <w:bookmarkStart w:id="99" w:name="xdx_402_eus-gaap--GrossProfit_iT_mtCzq3D"/>
            <w:bookmarkEnd w:id="99"/>
          </w:p>
        </w:tc>
      </w:tr>
      <w:tr>
        <w:trPr/>
        <w:tc>
          <w:tcPr>
            <w:tcW w:w="461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864</w:t>
            </w:r>
          </w:p>
        </w:tc>
        <w:tc>
          <w:tcPr>
            <w:tcW w:w="110" w:type="dxa"/>
            <w:tcBorders/>
            <w:shd w:fill="CCEEFF" w:val="clear"/>
            <w:vAlign w:val="center"/>
          </w:tcPr>
          <w:p>
            <w:pPr>
              <w:pStyle w:val="TableContents"/>
              <w:bidi w:val="0"/>
              <w:spacing w:before="0" w:after="283"/>
              <w:jc w:val="left"/>
              <w:rPr/>
            </w:pPr>
            <w:r>
              <w:rPr/>
              <w:t> </w:t>
            </w:r>
            <w:bookmarkStart w:id="100" w:name="xdx_400_eus-gaap--OperatingExpensesAbstr"/>
            <w:bookmarkEnd w:id="100"/>
          </w:p>
        </w:tc>
      </w:tr>
      <w:tr>
        <w:trPr/>
        <w:tc>
          <w:tcPr>
            <w:tcW w:w="461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 w:name="xdx_40F_eus-gaap--ResearchAndDevelopment"/>
            <w:bookmarkEnd w:id="101"/>
          </w:p>
        </w:tc>
      </w:tr>
      <w:tr>
        <w:trPr/>
        <w:tc>
          <w:tcPr>
            <w:tcW w:w="461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3,836</w:t>
            </w:r>
          </w:p>
        </w:tc>
        <w:tc>
          <w:tcPr>
            <w:tcW w:w="110" w:type="dxa"/>
            <w:tcBorders/>
            <w:shd w:fill="CCEEFF" w:val="clear"/>
            <w:vAlign w:val="center"/>
          </w:tcPr>
          <w:p>
            <w:pPr>
              <w:pStyle w:val="TableContents"/>
              <w:bidi w:val="0"/>
              <w:spacing w:before="0" w:after="283"/>
              <w:jc w:val="left"/>
              <w:rPr/>
            </w:pPr>
            <w:r>
              <w:rPr/>
              <w:t> </w:t>
            </w:r>
            <w:bookmarkStart w:id="102" w:name="xdx_40F_eus-gaap--SellingAndMarketingExp"/>
            <w:bookmarkEnd w:id="102"/>
          </w:p>
        </w:tc>
      </w:tr>
      <w:tr>
        <w:trPr/>
        <w:tc>
          <w:tcPr>
            <w:tcW w:w="461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1,680</w:t>
            </w:r>
          </w:p>
        </w:tc>
        <w:tc>
          <w:tcPr>
            <w:tcW w:w="110" w:type="dxa"/>
            <w:tcBorders/>
            <w:shd w:fill="FFFFFF" w:val="clear"/>
            <w:vAlign w:val="center"/>
          </w:tcPr>
          <w:p>
            <w:pPr>
              <w:pStyle w:val="TableContents"/>
              <w:bidi w:val="0"/>
              <w:spacing w:before="0" w:after="283"/>
              <w:jc w:val="left"/>
              <w:rPr/>
            </w:pPr>
            <w:r>
              <w:rPr/>
              <w:t> </w:t>
            </w:r>
            <w:bookmarkStart w:id="103" w:name="xdx_406_eus-gaap--GeneralAndAdministrati"/>
            <w:bookmarkEnd w:id="103"/>
          </w:p>
        </w:tc>
      </w:tr>
      <w:tr>
        <w:trPr/>
        <w:tc>
          <w:tcPr>
            <w:tcW w:w="46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5,044</w:t>
            </w:r>
          </w:p>
        </w:tc>
        <w:tc>
          <w:tcPr>
            <w:tcW w:w="110" w:type="dxa"/>
            <w:tcBorders/>
            <w:shd w:fill="CCEEFF" w:val="clear"/>
            <w:vAlign w:val="center"/>
          </w:tcPr>
          <w:p>
            <w:pPr>
              <w:pStyle w:val="TableContents"/>
              <w:bidi w:val="0"/>
              <w:spacing w:before="0" w:after="283"/>
              <w:jc w:val="left"/>
              <w:rPr/>
            </w:pPr>
            <w:r>
              <w:rPr/>
              <w:t> </w:t>
            </w:r>
            <w:bookmarkStart w:id="104" w:name="xdx_40D_eus-gaap--OperatingExpenses_i01T"/>
            <w:bookmarkEnd w:id="104"/>
          </w:p>
        </w:tc>
      </w:tr>
      <w:tr>
        <w:trPr/>
        <w:tc>
          <w:tcPr>
            <w:tcW w:w="461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5,806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10,560</w:t>
            </w:r>
          </w:p>
        </w:tc>
        <w:tc>
          <w:tcPr>
            <w:tcW w:w="110" w:type="dxa"/>
            <w:tcBorders/>
            <w:shd w:fill="FFFFFF" w:val="clear"/>
            <w:vAlign w:val="center"/>
          </w:tcPr>
          <w:p>
            <w:pPr>
              <w:pStyle w:val="TableContents"/>
              <w:bidi w:val="0"/>
              <w:spacing w:before="0" w:after="283"/>
              <w:jc w:val="left"/>
              <w:rPr/>
            </w:pPr>
            <w:r>
              <w:rPr/>
              <w:t> </w:t>
            </w:r>
            <w:bookmarkStart w:id="105" w:name="xdx_40A_eus-gaap--OperatingIncomeLoss_iT"/>
            <w:bookmarkEnd w:id="105"/>
          </w:p>
        </w:tc>
      </w:tr>
      <w:tr>
        <w:trPr/>
        <w:tc>
          <w:tcPr>
            <w:tcW w:w="46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(9,696</w:t>
            </w:r>
          </w:p>
        </w:tc>
        <w:tc>
          <w:tcPr>
            <w:tcW w:w="110" w:type="dxa"/>
            <w:tcBorders/>
            <w:shd w:fill="CCEEFF" w:val="clear"/>
            <w:vAlign w:val="center"/>
          </w:tcPr>
          <w:p>
            <w:pPr>
              <w:pStyle w:val="TableContents"/>
              <w:bidi w:val="0"/>
              <w:spacing w:before="0" w:after="283"/>
              <w:jc w:val="left"/>
              <w:rPr/>
            </w:pPr>
            <w:r>
              <w:rPr/>
              <w:t>)</w:t>
            </w:r>
            <w:bookmarkStart w:id="106" w:name="xdx_40A_eus-gaap--NonoperatingIncomeExpe"/>
            <w:bookmarkEnd w:id="106"/>
          </w:p>
        </w:tc>
      </w:tr>
      <w:tr>
        <w:trPr/>
        <w:tc>
          <w:tcPr>
            <w:tcW w:w="4610" w:type="dxa"/>
            <w:tcBorders/>
            <w:shd w:fill="FFFFFF" w:val="clear"/>
            <w:vAlign w:val="center"/>
          </w:tcPr>
          <w:p>
            <w:pPr>
              <w:pStyle w:val="TableContents"/>
              <w:bidi w:val="0"/>
              <w:spacing w:before="0" w:after="283"/>
              <w:jc w:val="left"/>
              <w:rPr>
                <w:b/>
              </w:rPr>
            </w:pPr>
            <w:r>
              <w:rPr>
                <w:b/>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363</w:t>
            </w:r>
          </w:p>
        </w:tc>
        <w:tc>
          <w:tcPr>
            <w:tcW w:w="110" w:type="dxa"/>
            <w:tcBorders/>
            <w:shd w:fill="FFFFFF" w:val="clear"/>
            <w:vAlign w:val="center"/>
          </w:tcPr>
          <w:p>
            <w:pPr>
              <w:pStyle w:val="TableContents"/>
              <w:bidi w:val="0"/>
              <w:spacing w:before="0" w:after="283"/>
              <w:jc w:val="left"/>
              <w:rPr/>
            </w:pPr>
            <w:r>
              <w:rPr/>
              <w:t> </w:t>
            </w:r>
            <w:bookmarkStart w:id="107" w:name="xdx_40F_eus-gaap--NetIncomeLoss_iT_mtCzZ"/>
            <w:bookmarkEnd w:id="107"/>
          </w:p>
        </w:tc>
      </w:tr>
      <w:tr>
        <w:trPr/>
        <w:tc>
          <w:tcPr>
            <w:tcW w:w="46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(5,077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(9,333</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b/>
              </w:rPr>
            </w:pPr>
            <w:r>
              <w:rPr>
                <w:b/>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08" w:name="xdx_90C_eus-gaap--EarningsPerShareDilute"/>
            <w:bookmarkStart w:id="109" w:name="xdx_904_eus-gaap--EarningsPerShareBasic_"/>
            <w:bookmarkEnd w:id="108"/>
            <w:bookmarkEnd w:id="109"/>
            <w:r>
              <w:rPr/>
              <w:t>(0.22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0" w:name="xdx_908_eus-gaap--EarningsPerShareDilute"/>
            <w:bookmarkStart w:id="111" w:name="xdx_903_eus-gaap--EarningsPerShareBasic_"/>
            <w:bookmarkEnd w:id="110"/>
            <w:bookmarkEnd w:id="111"/>
            <w:r>
              <w:rPr/>
              <w:t>(0.24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2" w:name="xdx_903_eus-gaap--EarningsPerShareDilute"/>
            <w:bookmarkStart w:id="113" w:name="xdx_90A_eus-gaap--EarningsPerShareBasic_"/>
            <w:bookmarkEnd w:id="112"/>
            <w:bookmarkEnd w:id="113"/>
            <w:r>
              <w:rPr/>
              <w:t>(0.43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4" w:name="xdx_900_eus-gaap--EarningsPerShareDilute"/>
            <w:bookmarkStart w:id="115" w:name="xdx_90A_eus-gaap--EarningsPerShareBasic_"/>
            <w:bookmarkEnd w:id="114"/>
            <w:bookmarkEnd w:id="115"/>
            <w:r>
              <w:rPr/>
              <w:t>(0.64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b/>
              </w:rPr>
              <w:t>WEIGHTED AVERAGE NUMBER OF SHARES OF COMMON STOCK USED IN COMPUTING NET LOSS PER SHARE</w:t>
            </w:r>
            <w:r>
              <w:rPr/>
              <w:t xml:space="preserv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6" w:name="xdx_907_eus-gaap--WeightedAverageNumberO"/>
            <w:bookmarkStart w:id="117" w:name="xdx_903_eus-gaap--WeightedAverageNumberO"/>
            <w:bookmarkEnd w:id="116"/>
            <w:bookmarkEnd w:id="117"/>
            <w:r>
              <w:rPr/>
              <w:t>35,877,926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8" w:name="xdx_902_eus-gaap--WeightedAverageNumberO"/>
            <w:bookmarkStart w:id="119" w:name="xdx_907_eus-gaap--WeightedAverageNumberO"/>
            <w:bookmarkEnd w:id="118"/>
            <w:bookmarkEnd w:id="119"/>
            <w:r>
              <w:rPr/>
              <w:t>21,074,187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0" w:name="xdx_90C_eus-gaap--WeightedAverageNumberO"/>
            <w:bookmarkStart w:id="121" w:name="xdx_90F_eus-gaap--WeightedAverageNumberO"/>
            <w:bookmarkEnd w:id="120"/>
            <w:bookmarkEnd w:id="121"/>
            <w:r>
              <w:rPr/>
              <w:t>35,060,451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2" w:name="xdx_90C_eus-gaap--WeightedAverageNumberO"/>
            <w:bookmarkStart w:id="123" w:name="xdx_908_eus-gaap--WeightedAverageNumberO"/>
            <w:bookmarkEnd w:id="122"/>
            <w:bookmarkEnd w:id="123"/>
            <w:r>
              <w:rPr/>
              <w:t>14,619,622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bookmarkStart w:id="124" w:name="sk_003"/>
      <w:bookmarkEnd w:id="124"/>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5" w:name="xdx_30B_114_pn3n3_zHuq9aFTgmX1"/>
      <w:bookmarkStart w:id="126" w:name="xdx_30B_114_pn3n3_zHuq9aFTgmX1"/>
      <w:bookmarkEnd w:id="126"/>
    </w:p>
    <w:tbl>
      <w:tblPr>
        <w:tblW w:w="10205" w:type="dxa"/>
        <w:jc w:val="left"/>
        <w:tblInd w:w="0" w:type="dxa"/>
        <w:tblLayout w:type="fixed"/>
        <w:tblCellMar>
          <w:top w:w="0" w:type="dxa"/>
          <w:left w:w="0" w:type="dxa"/>
          <w:bottom w:w="0" w:type="dxa"/>
          <w:right w:w="0" w:type="dxa"/>
        </w:tblCellMar>
      </w:tblPr>
      <w:tblGrid>
        <w:gridCol w:w="2416"/>
        <w:gridCol w:w="60"/>
        <w:gridCol w:w="60"/>
        <w:gridCol w:w="1100"/>
        <w:gridCol w:w="60"/>
        <w:gridCol w:w="60"/>
        <w:gridCol w:w="258"/>
        <w:gridCol w:w="602"/>
        <w:gridCol w:w="60"/>
        <w:gridCol w:w="60"/>
        <w:gridCol w:w="68"/>
        <w:gridCol w:w="642"/>
        <w:gridCol w:w="60"/>
        <w:gridCol w:w="60"/>
        <w:gridCol w:w="258"/>
        <w:gridCol w:w="602"/>
        <w:gridCol w:w="60"/>
        <w:gridCol w:w="60"/>
        <w:gridCol w:w="80"/>
        <w:gridCol w:w="1083"/>
        <w:gridCol w:w="60"/>
        <w:gridCol w:w="60"/>
        <w:gridCol w:w="87"/>
        <w:gridCol w:w="1283"/>
        <w:gridCol w:w="95"/>
        <w:gridCol w:w="60"/>
        <w:gridCol w:w="60"/>
        <w:gridCol w:w="680"/>
        <w:gridCol w:w="111"/>
      </w:tblGrid>
      <w:tr>
        <w:trPr/>
        <w:tc>
          <w:tcPr>
            <w:tcW w:w="2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9_us-gaap--StatementEquityComponen"/>
            <w:bookmarkEnd w:id="127"/>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F_us-gaap--StatementEquityComponen"/>
            <w:bookmarkEnd w:id="128"/>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E_us-gaap--StatementEquityComponen"/>
            <w:bookmarkEnd w:id="129"/>
          </w:p>
        </w:tc>
        <w:tc>
          <w:tcPr>
            <w:tcW w:w="11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1_us-gaap--StatementEquityComponen"/>
            <w:bookmarkEnd w:id="130"/>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B_zE8fwwhXCkld"/>
            <w:bookmarkEnd w:id="131"/>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2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jc w:val="center"/>
              <w:rPr/>
            </w:pPr>
            <w:r>
              <w:rPr/>
              <w:t> </w:t>
            </w:r>
          </w:p>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C</w:t>
              <w:br/>
              <w:t>Convertible</w:t>
              <w:b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3"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24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bookmarkStart w:id="132" w:name="xdx_432_c20230101__20230630_eus-gaap--St"/>
            <w:bookmarkEnd w:id="132"/>
          </w:p>
        </w:tc>
      </w:tr>
      <w:tr>
        <w:trPr/>
        <w:tc>
          <w:tcPr>
            <w:tcW w:w="2416" w:type="dxa"/>
            <w:tcBorders/>
            <w:shd w:fill="CCEEFF" w:val="clear"/>
            <w:vAlign w:val="center"/>
          </w:tcPr>
          <w:p>
            <w:pPr>
              <w:pStyle w:val="TableContents"/>
              <w:bidi w:val="0"/>
              <w:spacing w:before="0" w:after="283"/>
              <w:jc w:val="left"/>
              <w:rPr>
                <w:b/>
              </w:rPr>
            </w:pPr>
            <w:r>
              <w:rPr>
                <w:b/>
              </w:rPr>
              <w:t>BALANCE AT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3" w:name="xdx_984_eus-gaap--SharesOutstanding_iS_p"/>
            <w:bookmarkEnd w:id="133"/>
          </w:p>
        </w:tc>
        <w:tc>
          <w:tcPr>
            <w:tcW w:w="1100" w:type="dxa"/>
            <w:tcBorders/>
            <w:shd w:fill="CCEEFF" w:val="clear"/>
            <w:vAlign w:val="center"/>
          </w:tcPr>
          <w:p>
            <w:pPr>
              <w:pStyle w:val="TableContents"/>
              <w:bidi w:val="0"/>
              <w:spacing w:before="0" w:after="283"/>
              <w:jc w:val="right"/>
              <w:rPr>
                <w:b/>
              </w:rPr>
            </w:pPr>
            <w:r>
              <w:rPr>
                <w:b/>
              </w:rPr>
              <w:t>8,330,918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34" w:name="xdx_981_eus-gaap--SharesOutstanding_iS_p"/>
            <w:bookmarkEnd w:id="134"/>
          </w:p>
        </w:tc>
        <w:tc>
          <w:tcPr>
            <w:tcW w:w="642" w:type="dxa"/>
            <w:tcBorders/>
            <w:shd w:fill="CCEEFF" w:val="cle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sz w:val="20"/>
              </w:rPr>
              <w:t>-</w:t>
            </w:r>
            <w:bookmarkStart w:id="135" w:name="xdx_F26_zXSN79gwbOue"/>
            <w:bookmarkEnd w:id="135"/>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b/>
              </w:rPr>
            </w:pPr>
            <w:r>
              <w:rPr>
                <w:b/>
              </w:rPr>
              <w:t>218,977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(201,585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17,393</w:t>
            </w:r>
          </w:p>
        </w:tc>
        <w:tc>
          <w:tcPr>
            <w:tcW w:w="111" w:type="dxa"/>
            <w:tcBorders/>
            <w:shd w:fill="CCEEFF" w:val="clear"/>
            <w:vAlign w:val="center"/>
          </w:tcPr>
          <w:p>
            <w:pPr>
              <w:pStyle w:val="TableContents"/>
              <w:bidi w:val="0"/>
              <w:spacing w:before="0" w:after="283"/>
              <w:jc w:val="left"/>
              <w:rPr/>
            </w:pPr>
            <w:r>
              <w:rPr/>
              <w:t> </w:t>
            </w:r>
            <w:bookmarkStart w:id="136" w:name="xdx_407_eus-gaap--NetIncomeLoss_zE4ftQFI"/>
            <w:bookmarkEnd w:id="136"/>
          </w:p>
        </w:tc>
      </w:tr>
      <w:tr>
        <w:trPr/>
        <w:tc>
          <w:tcPr>
            <w:tcW w:w="2416"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(9,333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(9,333</w:t>
            </w:r>
          </w:p>
        </w:tc>
        <w:tc>
          <w:tcPr>
            <w:tcW w:w="111" w:type="dxa"/>
            <w:tcBorders/>
            <w:shd w:fill="FFFFFF" w:val="clear"/>
            <w:vAlign w:val="center"/>
          </w:tcPr>
          <w:p>
            <w:pPr>
              <w:pStyle w:val="TableContents"/>
              <w:bidi w:val="0"/>
              <w:spacing w:before="0" w:after="283"/>
              <w:jc w:val="left"/>
              <w:rPr>
                <w:b/>
              </w:rPr>
            </w:pPr>
            <w:r>
              <w:rPr>
                <w:b/>
              </w:rPr>
              <w:t>)</w:t>
            </w:r>
            <w:bookmarkStart w:id="137" w:name="xdx_403_eus-gaap--StockIssuedDuringPerio"/>
            <w:bookmarkEnd w:id="137"/>
          </w:p>
        </w:tc>
      </w:tr>
      <w:tr>
        <w:trPr/>
        <w:tc>
          <w:tcPr>
            <w:tcW w:w="2416" w:type="dxa"/>
            <w:tcBorders/>
            <w:shd w:fill="CCEEFF" w:val="clear"/>
            <w:vAlign w:val="center"/>
          </w:tcPr>
          <w:p>
            <w:pPr>
              <w:pStyle w:val="TableContents"/>
              <w:bidi w:val="0"/>
              <w:spacing w:before="0" w:after="283"/>
              <w:jc w:val="left"/>
              <w:rPr>
                <w:b/>
              </w:rPr>
            </w:pPr>
            <w:r>
              <w:rPr>
                <w:b/>
              </w:rPr>
              <w:t>Issuance of common shares, pre-funded warrants and warrants, net of $</w:t>
            </w:r>
            <w:bookmarkStart w:id="138" w:name="xdx_90F_eus-gaap--PaymentsOfStockIssuanc"/>
            <w:bookmarkEnd w:id="138"/>
            <w:r>
              <w:rPr>
                <w:b/>
              </w:rPr>
              <w:t>4,635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9" w:name="xdx_988_eus-gaap--StockIssuedDuringPerio"/>
            <w:bookmarkEnd w:id="139"/>
          </w:p>
        </w:tc>
        <w:tc>
          <w:tcPr>
            <w:tcW w:w="1100" w:type="dxa"/>
            <w:tcBorders/>
            <w:shd w:fill="CCEEFF" w:val="clear"/>
            <w:vAlign w:val="center"/>
          </w:tcPr>
          <w:p>
            <w:pPr>
              <w:pStyle w:val="TableContents"/>
              <w:bidi w:val="0"/>
              <w:spacing w:before="0" w:after="283"/>
              <w:jc w:val="right"/>
              <w:rPr>
                <w:b/>
              </w:rPr>
            </w:pPr>
            <w:r>
              <w:rPr>
                <w:b/>
              </w:rPr>
              <w:t>10,266,270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b/>
              </w:rPr>
            </w:pPr>
            <w:r>
              <w:rPr>
                <w:b/>
              </w:rPr>
              <w:t>37,533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37,534</w:t>
            </w:r>
          </w:p>
        </w:tc>
        <w:tc>
          <w:tcPr>
            <w:tcW w:w="111" w:type="dxa"/>
            <w:tcBorders/>
            <w:shd w:fill="CCEEFF" w:val="clear"/>
            <w:vAlign w:val="center"/>
          </w:tcPr>
          <w:p>
            <w:pPr>
              <w:pStyle w:val="TableContents"/>
              <w:bidi w:val="0"/>
              <w:spacing w:before="0" w:after="283"/>
              <w:jc w:val="left"/>
              <w:rPr/>
            </w:pPr>
            <w:r>
              <w:rPr/>
              <w:t> </w:t>
            </w:r>
            <w:bookmarkStart w:id="140" w:name="xdx_40B_ecustom--SharebasedCompensationR"/>
            <w:bookmarkEnd w:id="140"/>
          </w:p>
        </w:tc>
      </w:tr>
      <w:tr>
        <w:trPr/>
        <w:tc>
          <w:tcPr>
            <w:tcW w:w="2416" w:type="dxa"/>
            <w:tcBorders/>
            <w:shd w:fill="FFFFFF" w:val="clear"/>
            <w:vAlign w:val="center"/>
          </w:tcPr>
          <w:p>
            <w:pPr>
              <w:pStyle w:val="TableContents"/>
              <w:bidi w:val="0"/>
              <w:spacing w:before="0" w:after="283"/>
              <w:jc w:val="left"/>
              <w:rPr>
                <w:b/>
              </w:rPr>
            </w:pPr>
            <w:r>
              <w:rPr>
                <w:b/>
              </w:rPr>
              <w:t xml:space="preserve">Share-based compensation related to restricted stock, restricted stock units and stock options award, net of forfeitures of </w:t>
            </w:r>
            <w:bookmarkStart w:id="141" w:name="xdx_904_eus-gaap--StockIssuedDuringPerio"/>
            <w:bookmarkEnd w:id="141"/>
            <w:r>
              <w:rPr>
                <w:b/>
              </w:rPr>
              <w:t>4,270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2" w:name="xdx_98D_ecustom--SharebasedCompensationR"/>
            <w:bookmarkEnd w:id="142"/>
          </w:p>
        </w:tc>
        <w:tc>
          <w:tcPr>
            <w:tcW w:w="1100" w:type="dxa"/>
            <w:tcBorders/>
            <w:shd w:fill="FFFFFF" w:val="clear"/>
            <w:vAlign w:val="center"/>
          </w:tcPr>
          <w:p>
            <w:pPr>
              <w:pStyle w:val="TableContents"/>
              <w:bidi w:val="0"/>
              <w:spacing w:before="0" w:after="283"/>
              <w:jc w:val="right"/>
              <w:rPr>
                <w:b/>
              </w:rPr>
            </w:pPr>
            <w:r>
              <w:rPr>
                <w:b/>
              </w:rPr>
              <w:t>2,595,016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sz w:val="20"/>
              </w:rPr>
              <w:t>-</w:t>
            </w:r>
            <w:bookmarkStart w:id="143" w:name="xdx_F26_zHybzo7UTAt1"/>
            <w:bookmarkEnd w:id="143"/>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b/>
              </w:rPr>
            </w:pPr>
            <w:r>
              <w:rPr>
                <w:b/>
              </w:rPr>
              <w:t>1,219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1,219</w:t>
            </w:r>
          </w:p>
        </w:tc>
        <w:tc>
          <w:tcPr>
            <w:tcW w:w="111" w:type="dxa"/>
            <w:tcBorders/>
            <w:shd w:fill="FFFFFF" w:val="clear"/>
            <w:vAlign w:val="center"/>
          </w:tcPr>
          <w:p>
            <w:pPr>
              <w:pStyle w:val="TableContents"/>
              <w:bidi w:val="0"/>
              <w:spacing w:before="0" w:after="283"/>
              <w:jc w:val="left"/>
              <w:rPr/>
            </w:pPr>
            <w:r>
              <w:rPr/>
              <w:t> </w:t>
            </w:r>
            <w:bookmarkStart w:id="144" w:name="xdx_431_c20230101__20230630_eus-gaap--St"/>
            <w:bookmarkEnd w:id="144"/>
          </w:p>
        </w:tc>
      </w:tr>
      <w:tr>
        <w:trPr/>
        <w:tc>
          <w:tcPr>
            <w:tcW w:w="2416" w:type="dxa"/>
            <w:tcBorders/>
            <w:shd w:fill="CCEEFF" w:val="clear"/>
            <w:vAlign w:val="center"/>
          </w:tcPr>
          <w:p>
            <w:pPr>
              <w:pStyle w:val="TableContents"/>
              <w:bidi w:val="0"/>
              <w:spacing w:before="0" w:after="283"/>
              <w:jc w:val="left"/>
              <w:rPr>
                <w:b/>
              </w:rPr>
            </w:pPr>
            <w:r>
              <w:rPr>
                <w:b/>
              </w:rPr>
              <w:t>BALANCE AT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5" w:name="xdx_98A_eus-gaap--SharesOutstanding_iE_p"/>
            <w:bookmarkEnd w:id="14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21,192,204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6" w:name="xdx_987_eus-gaap--SharesOutstanding_iE_p"/>
            <w:bookmarkEnd w:id="146"/>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sz w:val="20"/>
              </w:rPr>
              <w:t>-</w:t>
            </w:r>
            <w:bookmarkStart w:id="147" w:name="xdx_F2C_zxgQMcckk47g"/>
            <w:bookmarkEnd w:id="147"/>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257,729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(210,918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46,813</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148" w:name="xdx_F0F_z08DfDAWUCie"/>
            <w:bookmarkEnd w:id="148"/>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149" w:name="xdx_F11_zNoct6E8ra9a"/>
            <w:bookmarkEnd w:id="149"/>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7"/>
        <w:gridCol w:w="60"/>
        <w:gridCol w:w="60"/>
        <w:gridCol w:w="1100"/>
        <w:gridCol w:w="60"/>
        <w:gridCol w:w="60"/>
        <w:gridCol w:w="258"/>
        <w:gridCol w:w="602"/>
        <w:gridCol w:w="60"/>
        <w:gridCol w:w="60"/>
        <w:gridCol w:w="79"/>
        <w:gridCol w:w="746"/>
        <w:gridCol w:w="79"/>
        <w:gridCol w:w="79"/>
        <w:gridCol w:w="251"/>
        <w:gridCol w:w="609"/>
        <w:gridCol w:w="60"/>
        <w:gridCol w:w="60"/>
        <w:gridCol w:w="80"/>
        <w:gridCol w:w="1088"/>
        <w:gridCol w:w="60"/>
        <w:gridCol w:w="60"/>
        <w:gridCol w:w="87"/>
        <w:gridCol w:w="1283"/>
        <w:gridCol w:w="95"/>
        <w:gridCol w:w="60"/>
        <w:gridCol w:w="60"/>
        <w:gridCol w:w="680"/>
        <w:gridCol w:w="112"/>
      </w:tblGrid>
      <w:tr>
        <w:trPr/>
        <w:tc>
          <w:tcPr>
            <w:tcW w:w="22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C</w:t>
              <w:br/>
              <w:t>Convertible</w:t>
              <w:b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22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22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150" w:name="xdx_433_c20230401__20230630_eus-gaap--St"/>
            <w:bookmarkEnd w:id="150"/>
          </w:p>
        </w:tc>
      </w:tr>
      <w:tr>
        <w:trPr/>
        <w:tc>
          <w:tcPr>
            <w:tcW w:w="2257" w:type="dxa"/>
            <w:tcBorders/>
            <w:shd w:fill="CCEEFF" w:val="clear"/>
            <w:vAlign w:val="center"/>
          </w:tcPr>
          <w:p>
            <w:pPr>
              <w:pStyle w:val="TableContents"/>
              <w:bidi w:val="0"/>
              <w:spacing w:before="0" w:after="283"/>
              <w:jc w:val="left"/>
              <w:rPr>
                <w:b/>
              </w:rPr>
            </w:pPr>
            <w:r>
              <w:rPr>
                <w:b/>
              </w:rPr>
              <w:t>BALANCE AT April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1" w:name="xdx_983_eus-gaap--SharesOutstanding_iS_p"/>
            <w:bookmarkEnd w:id="151"/>
          </w:p>
        </w:tc>
        <w:tc>
          <w:tcPr>
            <w:tcW w:w="1100" w:type="dxa"/>
            <w:tcBorders/>
            <w:shd w:fill="CCEEFF" w:val="clear"/>
            <w:vAlign w:val="center"/>
          </w:tcPr>
          <w:p>
            <w:pPr>
              <w:pStyle w:val="TableContents"/>
              <w:bidi w:val="0"/>
              <w:spacing w:before="0" w:after="283"/>
              <w:jc w:val="right"/>
              <w:rPr>
                <w:b/>
              </w:rPr>
            </w:pPr>
            <w:r>
              <w:rPr>
                <w:b/>
              </w:rPr>
              <w:t>8,326,648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52" w:name="xdx_98B_eus-gaap--SharesOutstanding_iS_p"/>
            <w:bookmarkEnd w:id="152"/>
          </w:p>
        </w:tc>
        <w:tc>
          <w:tcPr>
            <w:tcW w:w="746" w:type="dxa"/>
            <w:tcBorders/>
            <w:shd w:fill="CCEEFF" w:val="clear"/>
            <w:vAlign w:val="center"/>
          </w:tcPr>
          <w:p>
            <w:pPr>
              <w:pStyle w:val="TableContents"/>
              <w:bidi w:val="0"/>
              <w:spacing w:before="0" w:after="283"/>
              <w:jc w:val="right"/>
              <w:rPr>
                <w:b/>
              </w:rPr>
            </w:pPr>
            <w:r>
              <w:rPr>
                <w:b/>
              </w:rPr>
              <w:t>1,718</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153" w:name="xdx_F2A_zwVwGD2V7Pfi"/>
            <w:bookmarkEnd w:id="153"/>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b/>
              </w:rPr>
            </w:pPr>
            <w:r>
              <w:rPr>
                <w:b/>
              </w:rPr>
              <w:t>219,266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(205,841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13,426</w:t>
            </w:r>
          </w:p>
        </w:tc>
        <w:tc>
          <w:tcPr>
            <w:tcW w:w="112" w:type="dxa"/>
            <w:tcBorders/>
            <w:shd w:fill="CCEEFF" w:val="clear"/>
            <w:vAlign w:val="center"/>
          </w:tcPr>
          <w:p>
            <w:pPr>
              <w:pStyle w:val="TableContents"/>
              <w:bidi w:val="0"/>
              <w:spacing w:before="0" w:after="283"/>
              <w:jc w:val="left"/>
              <w:rPr/>
            </w:pPr>
            <w:r>
              <w:rPr/>
              <w:t> </w:t>
            </w:r>
            <w:bookmarkStart w:id="154" w:name="xdx_407_eus-gaap--NetIncomeLoss_z8M6lrwL"/>
            <w:bookmarkEnd w:id="154"/>
          </w:p>
        </w:tc>
      </w:tr>
      <w:tr>
        <w:trPr/>
        <w:tc>
          <w:tcPr>
            <w:tcW w:w="2257"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(5,077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(5,077</w:t>
            </w:r>
          </w:p>
        </w:tc>
        <w:tc>
          <w:tcPr>
            <w:tcW w:w="112" w:type="dxa"/>
            <w:tcBorders/>
            <w:shd w:fill="FFFFFF" w:val="clear"/>
            <w:vAlign w:val="center"/>
          </w:tcPr>
          <w:p>
            <w:pPr>
              <w:pStyle w:val="TableContents"/>
              <w:bidi w:val="0"/>
              <w:spacing w:before="0" w:after="283"/>
              <w:jc w:val="left"/>
              <w:rPr>
                <w:b/>
              </w:rPr>
            </w:pPr>
            <w:r>
              <w:rPr>
                <w:b/>
              </w:rPr>
              <w:t>)</w:t>
            </w:r>
            <w:bookmarkStart w:id="155" w:name="xdx_403_eus-gaap--StockIssuedDuringPerio"/>
            <w:bookmarkEnd w:id="155"/>
          </w:p>
        </w:tc>
      </w:tr>
      <w:tr>
        <w:trPr/>
        <w:tc>
          <w:tcPr>
            <w:tcW w:w="2257" w:type="dxa"/>
            <w:tcBorders/>
            <w:shd w:fill="CCEEFF" w:val="clear"/>
            <w:vAlign w:val="center"/>
          </w:tcPr>
          <w:p>
            <w:pPr>
              <w:pStyle w:val="TableContents"/>
              <w:bidi w:val="0"/>
              <w:spacing w:before="0" w:after="283"/>
              <w:jc w:val="left"/>
              <w:rPr>
                <w:b/>
              </w:rPr>
            </w:pPr>
            <w:r>
              <w:rPr>
                <w:b/>
              </w:rPr>
              <w:t>Issuance of common shares, pre-funded warrants and warrants, net of $</w:t>
            </w:r>
            <w:bookmarkStart w:id="156" w:name="xdx_904_eus-gaap--PaymentsOfStockIssuanc"/>
            <w:bookmarkEnd w:id="156"/>
            <w:r>
              <w:rPr>
                <w:b/>
              </w:rPr>
              <w:t>4,635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F_eus-gaap--StockIssuedDuringPerio"/>
            <w:bookmarkEnd w:id="157"/>
          </w:p>
        </w:tc>
        <w:tc>
          <w:tcPr>
            <w:tcW w:w="1100" w:type="dxa"/>
            <w:tcBorders/>
            <w:shd w:fill="CCEEFF" w:val="clear"/>
            <w:vAlign w:val="center"/>
          </w:tcPr>
          <w:p>
            <w:pPr>
              <w:pStyle w:val="TableContents"/>
              <w:bidi w:val="0"/>
              <w:spacing w:before="0" w:after="283"/>
              <w:jc w:val="right"/>
              <w:rPr>
                <w:b/>
              </w:rPr>
            </w:pPr>
            <w:r>
              <w:rPr>
                <w:b/>
              </w:rPr>
              <w:t>10,266,270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b/>
              </w:rPr>
            </w:pPr>
            <w:r>
              <w:rPr>
                <w:b/>
              </w:rPr>
              <w:t>37,533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37,534</w:t>
            </w:r>
          </w:p>
        </w:tc>
        <w:tc>
          <w:tcPr>
            <w:tcW w:w="112" w:type="dxa"/>
            <w:tcBorders/>
            <w:shd w:fill="CCEEFF" w:val="clear"/>
            <w:vAlign w:val="center"/>
          </w:tcPr>
          <w:p>
            <w:pPr>
              <w:pStyle w:val="TableContents"/>
              <w:bidi w:val="0"/>
              <w:spacing w:before="0" w:after="283"/>
              <w:jc w:val="left"/>
              <w:rPr/>
            </w:pPr>
            <w:r>
              <w:rPr/>
              <w:t> </w:t>
            </w:r>
            <w:bookmarkStart w:id="158" w:name="xdx_408_eus-gaap--StockIssuedDuringPerio"/>
            <w:bookmarkEnd w:id="158"/>
          </w:p>
        </w:tc>
      </w:tr>
      <w:tr>
        <w:trPr/>
        <w:tc>
          <w:tcPr>
            <w:tcW w:w="2257" w:type="dxa"/>
            <w:tcBorders/>
            <w:shd w:fill="CCEEFF" w:val="clear"/>
            <w:vAlign w:val="center"/>
          </w:tcPr>
          <w:p>
            <w:pPr>
              <w:pStyle w:val="TableContents"/>
              <w:bidi w:val="0"/>
              <w:spacing w:before="0" w:after="283"/>
              <w:jc w:val="left"/>
              <w:rPr>
                <w:b/>
              </w:rPr>
            </w:pPr>
            <w:r>
              <w:rPr>
                <w:b/>
              </w:rPr>
              <w:t>Issuance of common shares, pre-funded warrants and warrants,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9" w:name="xdx_983_eus-gaap--StockIssuedDuringPerio"/>
            <w:bookmarkEnd w:id="159"/>
          </w:p>
        </w:tc>
        <w:tc>
          <w:tcPr>
            <w:tcW w:w="1100" w:type="dxa"/>
            <w:tcBorders/>
            <w:shd w:fill="CCEEFF" w:val="clear"/>
            <w:vAlign w:val="center"/>
          </w:tcPr>
          <w:p>
            <w:pPr>
              <w:pStyle w:val="TableContents"/>
              <w:bidi w:val="0"/>
              <w:spacing w:before="0" w:after="283"/>
              <w:jc w:val="right"/>
              <w:rPr>
                <w:b/>
              </w:rPr>
            </w:pPr>
            <w:r>
              <w:rPr>
                <w:b/>
              </w:rPr>
              <w:t>10,266,270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b/>
              </w:rPr>
            </w:pPr>
            <w:r>
              <w:rPr>
                <w:b/>
              </w:rPr>
              <w:t>37,533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37,534</w:t>
            </w:r>
          </w:p>
        </w:tc>
        <w:tc>
          <w:tcPr>
            <w:tcW w:w="112" w:type="dxa"/>
            <w:tcBorders/>
            <w:shd w:fill="CCEEFF" w:val="clear"/>
            <w:vAlign w:val="center"/>
          </w:tcPr>
          <w:p>
            <w:pPr>
              <w:pStyle w:val="TableContents"/>
              <w:bidi w:val="0"/>
              <w:spacing w:before="0" w:after="283"/>
              <w:jc w:val="left"/>
              <w:rPr/>
            </w:pPr>
            <w:r>
              <w:rPr/>
              <w:t> </w:t>
            </w:r>
            <w:bookmarkStart w:id="160" w:name="xdx_40B_ecustom--SharebasedCompensationR"/>
            <w:bookmarkEnd w:id="160"/>
          </w:p>
        </w:tc>
      </w:tr>
      <w:tr>
        <w:trPr/>
        <w:tc>
          <w:tcPr>
            <w:tcW w:w="2257" w:type="dxa"/>
            <w:tcBorders/>
            <w:shd w:fill="FFFFFF" w:val="clear"/>
            <w:vAlign w:val="center"/>
          </w:tcPr>
          <w:p>
            <w:pPr>
              <w:pStyle w:val="TableContents"/>
              <w:bidi w:val="0"/>
              <w:spacing w:before="0" w:after="283"/>
              <w:jc w:val="left"/>
              <w:rPr>
                <w:b/>
              </w:rPr>
            </w:pPr>
            <w:r>
              <w:rPr>
                <w:b/>
              </w:rPr>
              <w:t>Share-based compensation related to stock, restricted stock, restricted stock units and stock options award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1" w:name="xdx_984_ecustom--SharebasedCompensationR"/>
            <w:bookmarkEnd w:id="161"/>
          </w:p>
        </w:tc>
        <w:tc>
          <w:tcPr>
            <w:tcW w:w="1100" w:type="dxa"/>
            <w:tcBorders/>
            <w:shd w:fill="FFFFFF" w:val="clear"/>
            <w:vAlign w:val="center"/>
          </w:tcPr>
          <w:p>
            <w:pPr>
              <w:pStyle w:val="TableContents"/>
              <w:bidi w:val="0"/>
              <w:spacing w:before="0" w:after="283"/>
              <w:jc w:val="right"/>
              <w:rPr>
                <w:b/>
              </w:rPr>
            </w:pPr>
            <w:r>
              <w:rPr>
                <w:b/>
              </w:rPr>
              <w:t>2,599,286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rFonts w:ascii="Times New Roman;Times;Serif" w:hAnsi="Times New Roman;Times;Serif"/>
                <w:b/>
              </w:rPr>
              <w:t>-</w:t>
            </w:r>
            <w:bookmarkStart w:id="162" w:name="xdx_F25_zbMlU2rHlnSj"/>
            <w:bookmarkEnd w:id="162"/>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b/>
              </w:rPr>
            </w:pPr>
            <w:r>
              <w:rPr>
                <w:b/>
              </w:rPr>
              <w:t>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930</w:t>
            </w:r>
          </w:p>
        </w:tc>
        <w:tc>
          <w:tcPr>
            <w:tcW w:w="112" w:type="dxa"/>
            <w:tcBorders/>
            <w:shd w:fill="FFFFFF" w:val="clear"/>
            <w:vAlign w:val="center"/>
          </w:tcPr>
          <w:p>
            <w:pPr>
              <w:pStyle w:val="TableContents"/>
              <w:bidi w:val="0"/>
              <w:spacing w:before="0" w:after="283"/>
              <w:jc w:val="left"/>
              <w:rPr/>
            </w:pPr>
            <w:r>
              <w:rPr/>
              <w:t> </w:t>
            </w:r>
            <w:bookmarkStart w:id="163" w:name="xdx_43A_c20230401__20230630_eus-gaap--St"/>
            <w:bookmarkEnd w:id="163"/>
          </w:p>
        </w:tc>
      </w:tr>
      <w:tr>
        <w:trPr/>
        <w:tc>
          <w:tcPr>
            <w:tcW w:w="2257" w:type="dxa"/>
            <w:tcBorders/>
            <w:shd w:fill="CCEEFF" w:val="clear"/>
            <w:vAlign w:val="center"/>
          </w:tcPr>
          <w:p>
            <w:pPr>
              <w:pStyle w:val="TableContents"/>
              <w:bidi w:val="0"/>
              <w:spacing w:before="0" w:after="283"/>
              <w:jc w:val="left"/>
              <w:rPr>
                <w:b/>
              </w:rPr>
            </w:pPr>
            <w:r>
              <w:rPr>
                <w:b/>
              </w:rPr>
              <w:t>BALANCE AT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4" w:name="xdx_987_eus-gaap--SharesOutstanding_iE_p"/>
            <w:bookmarkEnd w:id="16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21,192,204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5" w:name="xdx_98E_eus-gaap--SharesOutstanding_iE_p"/>
            <w:bookmarkEnd w:id="165"/>
          </w:p>
        </w:tc>
        <w:tc>
          <w:tcPr>
            <w:tcW w:w="74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1,718</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rFonts w:ascii="Times New Roman;Times;Serif" w:hAnsi="Times New Roman;Times;Serif"/>
                <w:b/>
              </w:rPr>
              <w:t>-</w:t>
            </w:r>
            <w:bookmarkStart w:id="166" w:name="xdx_F2A_zeyJfOZan8ad"/>
            <w:bookmarkEnd w:id="166"/>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257,729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(210,918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46,813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167" w:name="xdx_F0A_zq9GvAtLiVlg"/>
            <w:bookmarkEnd w:id="167"/>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168" w:name="xdx_F1D_zbnwVt1xwdJ3"/>
            <w:bookmarkEnd w:id="168"/>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2"/>
        <w:gridCol w:w="60"/>
        <w:gridCol w:w="60"/>
        <w:gridCol w:w="1100"/>
        <w:gridCol w:w="60"/>
        <w:gridCol w:w="60"/>
        <w:gridCol w:w="258"/>
        <w:gridCol w:w="602"/>
        <w:gridCol w:w="60"/>
        <w:gridCol w:w="60"/>
        <w:gridCol w:w="78"/>
        <w:gridCol w:w="739"/>
        <w:gridCol w:w="78"/>
        <w:gridCol w:w="78"/>
        <w:gridCol w:w="251"/>
        <w:gridCol w:w="609"/>
        <w:gridCol w:w="60"/>
        <w:gridCol w:w="60"/>
        <w:gridCol w:w="79"/>
        <w:gridCol w:w="1067"/>
        <w:gridCol w:w="60"/>
        <w:gridCol w:w="60"/>
        <w:gridCol w:w="87"/>
        <w:gridCol w:w="1283"/>
        <w:gridCol w:w="95"/>
        <w:gridCol w:w="60"/>
        <w:gridCol w:w="60"/>
        <w:gridCol w:w="755"/>
        <w:gridCol w:w="114"/>
      </w:tblGrid>
      <w:tr>
        <w:trPr/>
        <w:tc>
          <w:tcPr>
            <w:tcW w:w="22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C</w:t>
              <w:br/>
              <w:t>Convertible</w:t>
              <w:b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Total</w:t>
            </w:r>
          </w:p>
        </w:tc>
        <w:tc>
          <w:tcPr>
            <w:tcW w:w="114" w:type="dxa"/>
            <w:tcBorders/>
            <w:vAlign w:val="center"/>
          </w:tcPr>
          <w:p>
            <w:pPr>
              <w:pStyle w:val="TableContents"/>
              <w:bidi w:val="0"/>
              <w:spacing w:before="0" w:after="283"/>
              <w:jc w:val="left"/>
              <w:rPr/>
            </w:pPr>
            <w:r>
              <w:rPr/>
              <w:t> </w:t>
            </w:r>
          </w:p>
        </w:tc>
      </w:tr>
      <w:tr>
        <w:trPr/>
        <w:tc>
          <w:tcPr>
            <w:tcW w:w="22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left"/>
              <w:rPr/>
            </w:pPr>
            <w:r>
              <w:rPr/>
              <w:t> </w:t>
            </w:r>
          </w:p>
        </w:tc>
      </w:tr>
      <w:tr>
        <w:trPr/>
        <w:tc>
          <w:tcPr>
            <w:tcW w:w="22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bookmarkStart w:id="169" w:name="xdx_435_c20240101__20240630_eus-gaap--St"/>
            <w:bookmarkEnd w:id="169"/>
          </w:p>
        </w:tc>
      </w:tr>
      <w:tr>
        <w:trPr/>
        <w:tc>
          <w:tcPr>
            <w:tcW w:w="2212" w:type="dxa"/>
            <w:tcBorders/>
            <w:shd w:fill="CCEEFF" w:val="clear"/>
            <w:vAlign w:val="center"/>
          </w:tcPr>
          <w:p>
            <w:pPr>
              <w:pStyle w:val="TableContents"/>
              <w:bidi w:val="0"/>
              <w:spacing w:before="0" w:after="283"/>
              <w:jc w:val="left"/>
              <w:rPr>
                <w:b/>
              </w:rPr>
            </w:pPr>
            <w:r>
              <w:rPr>
                <w:b/>
              </w:rPr>
              <w:t>BALANCE AT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F_eus-gaap--SharesOutstanding_iS_p"/>
            <w:bookmarkEnd w:id="170"/>
          </w:p>
        </w:tc>
        <w:tc>
          <w:tcPr>
            <w:tcW w:w="1100" w:type="dxa"/>
            <w:tcBorders/>
            <w:shd w:fill="CCEEFF" w:val="clear"/>
            <w:vAlign w:val="center"/>
          </w:tcPr>
          <w:p>
            <w:pPr>
              <w:pStyle w:val="TableContents"/>
              <w:bidi w:val="0"/>
              <w:spacing w:before="0" w:after="283"/>
              <w:jc w:val="right"/>
              <w:rPr>
                <w:b/>
              </w:rPr>
            </w:pPr>
            <w:r>
              <w:rPr>
                <w:b/>
              </w:rPr>
              <w:t>21,841,215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71" w:name="xdx_986_eus-gaap--SharesOutstanding_iS_p"/>
            <w:bookmarkEnd w:id="171"/>
          </w:p>
        </w:tc>
        <w:tc>
          <w:tcPr>
            <w:tcW w:w="739" w:type="dxa"/>
            <w:tcBorders/>
            <w:shd w:fill="CCEEFF" w:val="clear"/>
            <w:vAlign w:val="center"/>
          </w:tcPr>
          <w:p>
            <w:pPr>
              <w:pStyle w:val="TableContents"/>
              <w:bidi w:val="0"/>
              <w:spacing w:before="0" w:after="283"/>
              <w:jc w:val="right"/>
              <w:rPr>
                <w:b/>
              </w:rPr>
            </w:pPr>
            <w:r>
              <w:rPr>
                <w:b/>
              </w:rPr>
              <w:t>1,718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172" w:name="xdx_F20_zQRmhj9G5b85"/>
            <w:bookmarkEnd w:id="172"/>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b/>
              </w:rPr>
            </w:pPr>
            <w:r>
              <w:rPr>
                <w:b/>
              </w:rPr>
              <w:t>261,000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(221,501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39,501</w:t>
            </w:r>
          </w:p>
        </w:tc>
        <w:tc>
          <w:tcPr>
            <w:tcW w:w="114" w:type="dxa"/>
            <w:tcBorders/>
            <w:shd w:fill="CCEEFF" w:val="clear"/>
            <w:vAlign w:val="center"/>
          </w:tcPr>
          <w:p>
            <w:pPr>
              <w:pStyle w:val="TableContents"/>
              <w:bidi w:val="0"/>
              <w:spacing w:before="0" w:after="283"/>
              <w:jc w:val="left"/>
              <w:rPr/>
            </w:pPr>
            <w:r>
              <w:rPr/>
              <w:t> </w:t>
            </w:r>
            <w:bookmarkStart w:id="173" w:name="xdx_40B_eus-gaap--NetIncomeLoss_zjiQt4KQ"/>
            <w:bookmarkEnd w:id="173"/>
          </w:p>
        </w:tc>
      </w:tr>
      <w:tr>
        <w:trPr/>
        <w:tc>
          <w:tcPr>
            <w:tcW w:w="2212"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(14,941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(14,941</w:t>
            </w:r>
          </w:p>
        </w:tc>
        <w:tc>
          <w:tcPr>
            <w:tcW w:w="114" w:type="dxa"/>
            <w:tcBorders/>
            <w:shd w:fill="FFFFFF" w:val="clear"/>
            <w:vAlign w:val="center"/>
          </w:tcPr>
          <w:p>
            <w:pPr>
              <w:pStyle w:val="TableContents"/>
              <w:bidi w:val="0"/>
              <w:spacing w:before="0" w:after="283"/>
              <w:jc w:val="left"/>
              <w:rPr>
                <w:b/>
              </w:rPr>
            </w:pPr>
            <w:r>
              <w:rPr>
                <w:b/>
              </w:rPr>
              <w:t>)</w:t>
            </w:r>
            <w:bookmarkStart w:id="174" w:name="xdx_407_ecustom--StockIssuedDuringPeriod"/>
            <w:bookmarkEnd w:id="174"/>
          </w:p>
        </w:tc>
      </w:tr>
      <w:tr>
        <w:trPr/>
        <w:tc>
          <w:tcPr>
            <w:tcW w:w="2212" w:type="dxa"/>
            <w:tcBorders/>
            <w:shd w:fill="CCEEFF" w:val="clear"/>
            <w:vAlign w:val="center"/>
          </w:tcPr>
          <w:p>
            <w:pPr>
              <w:pStyle w:val="TableContents"/>
              <w:bidi w:val="0"/>
              <w:spacing w:before="0" w:after="283"/>
              <w:jc w:val="left"/>
              <w:rPr>
                <w:b/>
              </w:rPr>
            </w:pPr>
            <w:r>
              <w:rPr>
                <w:b/>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A_ecustom--StockIssuedDuringPeriod"/>
            <w:bookmarkEnd w:id="175"/>
          </w:p>
        </w:tc>
        <w:tc>
          <w:tcPr>
            <w:tcW w:w="1100" w:type="dxa"/>
            <w:tcBorders/>
            <w:shd w:fill="CCEEFF" w:val="clear"/>
            <w:vAlign w:val="center"/>
          </w:tcPr>
          <w:p>
            <w:pPr>
              <w:pStyle w:val="TableContents"/>
              <w:bidi w:val="0"/>
              <w:spacing w:before="0" w:after="283"/>
              <w:jc w:val="right"/>
              <w:rPr>
                <w:b/>
              </w:rPr>
            </w:pPr>
            <w:r>
              <w:rPr>
                <w:b/>
              </w:rPr>
              <w:t>1,528,390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176" w:name="xdx_F27_zMuvzNbuhvDb"/>
            <w:bookmarkEnd w:id="176"/>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177" w:name="xdx_F28_zcKaxwh3j3M7"/>
            <w:bookmarkEnd w:id="177"/>
            <w:r>
              <w:rPr>
                <w:b/>
              </w:rPr>
              <w:t>*</w:t>
            </w:r>
          </w:p>
        </w:tc>
        <w:tc>
          <w:tcPr>
            <w:tcW w:w="114" w:type="dxa"/>
            <w:tcBorders/>
            <w:shd w:fill="CCEEFF" w:val="clear"/>
            <w:vAlign w:val="center"/>
          </w:tcPr>
          <w:p>
            <w:pPr>
              <w:pStyle w:val="TableContents"/>
              <w:bidi w:val="0"/>
              <w:spacing w:before="0" w:after="283"/>
              <w:jc w:val="left"/>
              <w:rPr/>
            </w:pPr>
            <w:r>
              <w:rPr/>
              <w:t> </w:t>
            </w:r>
            <w:bookmarkStart w:id="178" w:name="xdx_408_ecustom--StockIssuedDuringPeriod"/>
            <w:bookmarkEnd w:id="178"/>
          </w:p>
        </w:tc>
      </w:tr>
      <w:tr>
        <w:trPr/>
        <w:tc>
          <w:tcPr>
            <w:tcW w:w="2212" w:type="dxa"/>
            <w:tcBorders/>
            <w:shd w:fill="FFFFFF" w:val="clear"/>
            <w:vAlign w:val="center"/>
          </w:tcPr>
          <w:p>
            <w:pPr>
              <w:pStyle w:val="TableContents"/>
              <w:bidi w:val="0"/>
              <w:spacing w:before="0" w:after="283"/>
              <w:jc w:val="left"/>
              <w:rPr>
                <w:b/>
              </w:rPr>
            </w:pPr>
            <w:r>
              <w:rPr>
                <w:b/>
              </w:rPr>
              <w:t xml:space="preserve">Exercise of Warrants Series H to </w:t>
            </w:r>
            <w:bookmarkStart w:id="179" w:name="xdx_901_eus-gaap--ClassOfWarrantOrRightN"/>
            <w:bookmarkEnd w:id="179"/>
            <w:r>
              <w:rPr>
                <w:b/>
              </w:rPr>
              <w:t xml:space="preserve">12,621,090 pre-funded warrants and </w:t>
            </w:r>
            <w:bookmarkStart w:id="180" w:name="xdx_903_ecustom--StockIssuedDuringPeriod"/>
            <w:bookmarkEnd w:id="180"/>
            <w:r>
              <w:rPr>
                <w:b/>
              </w:rPr>
              <w:t>292,996 common stock, net of $</w:t>
            </w:r>
            <w:bookmarkStart w:id="181" w:name="xdx_908_eus-gaap--ProceedsFromIssuanceOf"/>
            <w:bookmarkEnd w:id="181"/>
            <w:r>
              <w:rPr>
                <w:b/>
              </w:rPr>
              <w:t>1,000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 w:name="xdx_984_ecustom--StockIssuedDuringPeriod"/>
            <w:bookmarkEnd w:id="182"/>
          </w:p>
        </w:tc>
        <w:tc>
          <w:tcPr>
            <w:tcW w:w="1100" w:type="dxa"/>
            <w:tcBorders/>
            <w:shd w:fill="FFFFFF" w:val="clear"/>
            <w:vAlign w:val="center"/>
          </w:tcPr>
          <w:p>
            <w:pPr>
              <w:pStyle w:val="TableContents"/>
              <w:bidi w:val="0"/>
              <w:spacing w:before="0" w:after="283"/>
              <w:jc w:val="right"/>
              <w:rPr>
                <w:b/>
              </w:rPr>
            </w:pPr>
            <w:r>
              <w:rPr>
                <w:b/>
              </w:rPr>
              <w:t>292,996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b/>
              </w:rPr>
            </w:pPr>
            <w:r>
              <w:rPr>
                <w:b/>
              </w:rPr>
              <w:t>16,853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16,854</w:t>
            </w:r>
          </w:p>
        </w:tc>
        <w:tc>
          <w:tcPr>
            <w:tcW w:w="114" w:type="dxa"/>
            <w:tcBorders/>
            <w:shd w:fill="FFFFFF" w:val="clear"/>
            <w:vAlign w:val="center"/>
          </w:tcPr>
          <w:p>
            <w:pPr>
              <w:pStyle w:val="TableContents"/>
              <w:bidi w:val="0"/>
              <w:spacing w:before="0" w:after="283"/>
              <w:jc w:val="left"/>
              <w:rPr/>
            </w:pPr>
            <w:r>
              <w:rPr/>
              <w:t> </w:t>
            </w:r>
            <w:bookmarkStart w:id="183" w:name="xdx_40D_ecustom--SharebasedCompensationR"/>
            <w:bookmarkEnd w:id="183"/>
          </w:p>
        </w:tc>
      </w:tr>
      <w:tr>
        <w:trPr/>
        <w:tc>
          <w:tcPr>
            <w:tcW w:w="2212" w:type="dxa"/>
            <w:tcBorders/>
            <w:shd w:fill="CCEE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184" w:name="xdx_90C_eus-gaap--StockIssuedDuringPerio"/>
            <w:bookmarkEnd w:id="184"/>
            <w:r>
              <w:rPr>
                <w:b/>
              </w:rPr>
              <w:t>112,382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6_ecustom--SharebasedCompensationR"/>
            <w:bookmarkEnd w:id="185"/>
          </w:p>
        </w:tc>
        <w:tc>
          <w:tcPr>
            <w:tcW w:w="1100" w:type="dxa"/>
            <w:tcBorders/>
            <w:shd w:fill="CCEEFF" w:val="clear"/>
            <w:vAlign w:val="center"/>
          </w:tcPr>
          <w:p>
            <w:pPr>
              <w:pStyle w:val="TableContents"/>
              <w:bidi w:val="0"/>
              <w:spacing w:before="0" w:after="283"/>
              <w:jc w:val="right"/>
              <w:rPr>
                <w:b/>
              </w:rPr>
            </w:pPr>
            <w:r>
              <w:rPr>
                <w:b/>
              </w:rPr>
              <w:t>1,533,878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186" w:name="xdx_F24_zqlWZ9ODF1bl"/>
            <w:bookmarkEnd w:id="186"/>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b/>
              </w:rPr>
            </w:pPr>
            <w:r>
              <w:rPr>
                <w:b/>
              </w:rPr>
              <w:t>5,349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5,349</w:t>
            </w:r>
          </w:p>
        </w:tc>
        <w:tc>
          <w:tcPr>
            <w:tcW w:w="114" w:type="dxa"/>
            <w:tcBorders/>
            <w:shd w:fill="CCEEFF" w:val="clear"/>
            <w:vAlign w:val="center"/>
          </w:tcPr>
          <w:p>
            <w:pPr>
              <w:pStyle w:val="TableContents"/>
              <w:bidi w:val="0"/>
              <w:spacing w:before="0" w:after="283"/>
              <w:jc w:val="left"/>
              <w:rPr/>
            </w:pPr>
            <w:r>
              <w:rPr/>
              <w:t> </w:t>
            </w:r>
            <w:bookmarkStart w:id="187" w:name="xdx_430_c20240101__20240630_eus-gaap--St"/>
            <w:bookmarkEnd w:id="187"/>
          </w:p>
        </w:tc>
      </w:tr>
      <w:tr>
        <w:trPr/>
        <w:tc>
          <w:tcPr>
            <w:tcW w:w="2212" w:type="dxa"/>
            <w:tcBorders/>
            <w:shd w:fill="FFFFFF" w:val="clear"/>
            <w:vAlign w:val="center"/>
          </w:tcPr>
          <w:p>
            <w:pPr>
              <w:pStyle w:val="TableContents"/>
              <w:bidi w:val="0"/>
              <w:spacing w:before="0" w:after="283"/>
              <w:jc w:val="left"/>
              <w:rPr>
                <w:b/>
              </w:rPr>
            </w:pPr>
            <w:r>
              <w:rPr>
                <w:b/>
              </w:rPr>
              <w:t>BALANCE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8" w:name="xdx_98F_eus-gaap--SharesOutstanding_iE_p"/>
            <w:bookmarkEnd w:id="18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25,196,479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9" w:name="xdx_980_eus-gaap--SharesOutstanding_iE_p"/>
            <w:bookmarkEnd w:id="189"/>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rPr>
              <w:t>-</w:t>
            </w:r>
            <w:bookmarkStart w:id="190" w:name="xdx_F23_zBkdF18oTip7"/>
            <w:bookmarkEnd w:id="190"/>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283,202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(236,442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46,763</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191" w:name="xdx_F07_zfUVSTKXfyy3"/>
            <w:bookmarkEnd w:id="191"/>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192" w:name="xdx_F12_zyPF1KG8yl27"/>
            <w:bookmarkEnd w:id="192"/>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CHANGES IN EQUITY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9"/>
        <w:gridCol w:w="60"/>
        <w:gridCol w:w="60"/>
        <w:gridCol w:w="1100"/>
        <w:gridCol w:w="95"/>
        <w:gridCol w:w="60"/>
        <w:gridCol w:w="258"/>
        <w:gridCol w:w="602"/>
        <w:gridCol w:w="60"/>
        <w:gridCol w:w="60"/>
        <w:gridCol w:w="78"/>
        <w:gridCol w:w="740"/>
        <w:gridCol w:w="78"/>
        <w:gridCol w:w="78"/>
        <w:gridCol w:w="251"/>
        <w:gridCol w:w="609"/>
        <w:gridCol w:w="60"/>
        <w:gridCol w:w="60"/>
        <w:gridCol w:w="79"/>
        <w:gridCol w:w="1070"/>
        <w:gridCol w:w="60"/>
        <w:gridCol w:w="60"/>
        <w:gridCol w:w="87"/>
        <w:gridCol w:w="1283"/>
        <w:gridCol w:w="95"/>
        <w:gridCol w:w="60"/>
        <w:gridCol w:w="60"/>
        <w:gridCol w:w="680"/>
        <w:gridCol w:w="113"/>
      </w:tblGrid>
      <w:tr>
        <w:trPr/>
        <w:tc>
          <w:tcPr>
            <w:tcW w:w="22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C</w:t>
              <w:br/>
              <w:t>Convertible</w:t>
              <w:b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22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p>
        </w:tc>
      </w:tr>
      <w:tr>
        <w:trPr/>
        <w:tc>
          <w:tcPr>
            <w:tcW w:w="224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8"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193" w:name="xdx_43D_c20240401__20240630_eus-gaap--St"/>
            <w:bookmarkEnd w:id="193"/>
          </w:p>
        </w:tc>
      </w:tr>
      <w:tr>
        <w:trPr/>
        <w:tc>
          <w:tcPr>
            <w:tcW w:w="2249"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4" w:name="xdx_984_eus-gaap--SharesOutstanding_iS_p"/>
            <w:bookmarkEnd w:id="194"/>
          </w:p>
        </w:tc>
        <w:tc>
          <w:tcPr>
            <w:tcW w:w="1100" w:type="dxa"/>
            <w:tcBorders/>
            <w:shd w:fill="CCEEFF" w:val="clear"/>
            <w:vAlign w:val="center"/>
          </w:tcPr>
          <w:p>
            <w:pPr>
              <w:pStyle w:val="TableContents"/>
              <w:bidi w:val="0"/>
              <w:spacing w:before="0" w:after="283"/>
              <w:jc w:val="right"/>
              <w:rPr>
                <w:b/>
              </w:rPr>
            </w:pPr>
            <w:r>
              <w:rPr>
                <w:b/>
              </w:rPr>
              <w:t>23,412,385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95" w:name="xdx_984_eus-gaap--SharesOutstanding_iS_p"/>
            <w:bookmarkEnd w:id="195"/>
          </w:p>
        </w:tc>
        <w:tc>
          <w:tcPr>
            <w:tcW w:w="740" w:type="dxa"/>
            <w:tcBorders/>
            <w:shd w:fill="CCEEFF" w:val="clear"/>
            <w:vAlign w:val="center"/>
          </w:tcPr>
          <w:p>
            <w:pPr>
              <w:pStyle w:val="TableContents"/>
              <w:bidi w:val="0"/>
              <w:spacing w:before="0" w:after="283"/>
              <w:jc w:val="right"/>
              <w:rPr>
                <w:b/>
              </w:rPr>
            </w:pPr>
            <w:r>
              <w:rPr>
                <w:b/>
              </w:rPr>
              <w:t>1,718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196" w:name="xdx_F23_z2qPJXi2r6K3"/>
            <w:bookmarkEnd w:id="196"/>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263,618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(228,533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35,087</w:t>
            </w:r>
          </w:p>
        </w:tc>
        <w:tc>
          <w:tcPr>
            <w:tcW w:w="113" w:type="dxa"/>
            <w:tcBorders/>
            <w:shd w:fill="CCEEFF" w:val="clear"/>
            <w:vAlign w:val="center"/>
          </w:tcPr>
          <w:p>
            <w:pPr>
              <w:pStyle w:val="TableContents"/>
              <w:bidi w:val="0"/>
              <w:spacing w:before="0" w:after="283"/>
              <w:jc w:val="left"/>
              <w:rPr/>
            </w:pPr>
            <w:r>
              <w:rPr/>
              <w:t> </w:t>
            </w:r>
            <w:bookmarkStart w:id="197" w:name="xdx_432_c20240401__20240630_eus-gaap--St"/>
            <w:bookmarkEnd w:id="197"/>
          </w:p>
        </w:tc>
      </w:tr>
      <w:tr>
        <w:trPr/>
        <w:tc>
          <w:tcPr>
            <w:tcW w:w="2249"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4_eus-gaap--SharesOutstanding_iS_p"/>
            <w:bookmarkEnd w:id="198"/>
          </w:p>
        </w:tc>
        <w:tc>
          <w:tcPr>
            <w:tcW w:w="1100" w:type="dxa"/>
            <w:tcBorders/>
            <w:shd w:fill="CCEEFF" w:val="clear"/>
            <w:vAlign w:val="center"/>
          </w:tcPr>
          <w:p>
            <w:pPr>
              <w:pStyle w:val="TableContents"/>
              <w:bidi w:val="0"/>
              <w:spacing w:before="0" w:after="283"/>
              <w:jc w:val="right"/>
              <w:rPr>
                <w:b/>
              </w:rPr>
            </w:pPr>
            <w:r>
              <w:rPr>
                <w:b/>
              </w:rPr>
              <w:t>23,412,385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99" w:name="xdx_98E_eus-gaap--SharesOutstanding_iS_p"/>
            <w:bookmarkEnd w:id="199"/>
          </w:p>
        </w:tc>
        <w:tc>
          <w:tcPr>
            <w:tcW w:w="740" w:type="dxa"/>
            <w:tcBorders/>
            <w:shd w:fill="CCEEFF" w:val="clear"/>
            <w:vAlign w:val="center"/>
          </w:tcPr>
          <w:p>
            <w:pPr>
              <w:pStyle w:val="TableContents"/>
              <w:bidi w:val="0"/>
              <w:spacing w:before="0" w:after="283"/>
              <w:jc w:val="right"/>
              <w:rPr>
                <w:b/>
              </w:rPr>
            </w:pPr>
            <w:r>
              <w:rPr>
                <w:b/>
              </w:rPr>
              <w:t>1,718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200" w:name="xdx_F27_zNxiW5qc653b"/>
            <w:bookmarkEnd w:id="200"/>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263,618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(228,533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35,087</w:t>
            </w:r>
          </w:p>
        </w:tc>
        <w:tc>
          <w:tcPr>
            <w:tcW w:w="113" w:type="dxa"/>
            <w:tcBorders/>
            <w:shd w:fill="CCEEFF" w:val="clear"/>
            <w:vAlign w:val="center"/>
          </w:tcPr>
          <w:p>
            <w:pPr>
              <w:pStyle w:val="TableContents"/>
              <w:bidi w:val="0"/>
              <w:spacing w:before="0" w:after="283"/>
              <w:jc w:val="left"/>
              <w:rPr/>
            </w:pPr>
            <w:r>
              <w:rPr/>
              <w:t> </w:t>
            </w:r>
            <w:bookmarkStart w:id="201" w:name="xdx_40B_eus-gaap--NetIncomeLoss_ztabqDbC"/>
            <w:bookmarkEnd w:id="201"/>
          </w:p>
        </w:tc>
      </w:tr>
      <w:tr>
        <w:trPr/>
        <w:tc>
          <w:tcPr>
            <w:tcW w:w="2249"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(7,909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(7,909</w:t>
            </w:r>
          </w:p>
        </w:tc>
        <w:tc>
          <w:tcPr>
            <w:tcW w:w="113" w:type="dxa"/>
            <w:tcBorders/>
            <w:shd w:fill="FFFFFF" w:val="clear"/>
            <w:vAlign w:val="center"/>
          </w:tcPr>
          <w:p>
            <w:pPr>
              <w:pStyle w:val="TableContents"/>
              <w:bidi w:val="0"/>
              <w:spacing w:before="0" w:after="283"/>
              <w:jc w:val="left"/>
              <w:rPr>
                <w:b/>
              </w:rPr>
            </w:pPr>
            <w:r>
              <w:rPr>
                <w:b/>
              </w:rPr>
              <w:t>)</w:t>
            </w:r>
            <w:bookmarkStart w:id="202" w:name="xdx_406_ecustom--StockIssuedDuringPeriod"/>
            <w:bookmarkEnd w:id="202"/>
          </w:p>
        </w:tc>
      </w:tr>
      <w:tr>
        <w:trPr/>
        <w:tc>
          <w:tcPr>
            <w:tcW w:w="2249" w:type="dxa"/>
            <w:tcBorders/>
            <w:shd w:fill="CCEEFF" w:val="clear"/>
            <w:vAlign w:val="center"/>
          </w:tcPr>
          <w:p>
            <w:pPr>
              <w:pStyle w:val="TableContents"/>
              <w:bidi w:val="0"/>
              <w:spacing w:before="0" w:after="283"/>
              <w:jc w:val="left"/>
              <w:rPr>
                <w:b/>
              </w:rPr>
            </w:pPr>
            <w:r>
              <w:rPr>
                <w:b/>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B_ecustom--StockIssuedDuringPeriod"/>
            <w:bookmarkEnd w:id="203"/>
          </w:p>
        </w:tc>
        <w:tc>
          <w:tcPr>
            <w:tcW w:w="1100" w:type="dxa"/>
            <w:tcBorders/>
            <w:shd w:fill="CCEEFF" w:val="clear"/>
            <w:vAlign w:val="center"/>
          </w:tcPr>
          <w:p>
            <w:pPr>
              <w:pStyle w:val="TableContents"/>
              <w:bidi w:val="0"/>
              <w:spacing w:before="0" w:after="283"/>
              <w:jc w:val="right"/>
              <w:rPr>
                <w:b/>
              </w:rPr>
            </w:pPr>
            <w:r>
              <w:rPr>
                <w:b/>
              </w:rPr>
              <w:t>1,528,390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204" w:name="xdx_F2B_zauJXB3ypzAh"/>
            <w:bookmarkEnd w:id="204"/>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205" w:name="xdx_F2D_zqLpdgY2m5Fa"/>
            <w:bookmarkEnd w:id="205"/>
            <w:r>
              <w:rPr>
                <w:b/>
              </w:rPr>
              <w:t>*</w:t>
            </w:r>
          </w:p>
        </w:tc>
        <w:tc>
          <w:tcPr>
            <w:tcW w:w="113" w:type="dxa"/>
            <w:tcBorders/>
            <w:shd w:fill="CCEEFF" w:val="clear"/>
            <w:vAlign w:val="center"/>
          </w:tcPr>
          <w:p>
            <w:pPr>
              <w:pStyle w:val="TableContents"/>
              <w:bidi w:val="0"/>
              <w:spacing w:before="0" w:after="283"/>
              <w:jc w:val="left"/>
              <w:rPr/>
            </w:pPr>
            <w:r>
              <w:rPr/>
              <w:t> </w:t>
            </w:r>
            <w:bookmarkStart w:id="206" w:name="xdx_408_ecustom--StockIssuedDuringPeriod"/>
            <w:bookmarkEnd w:id="206"/>
          </w:p>
        </w:tc>
      </w:tr>
      <w:tr>
        <w:trPr/>
        <w:tc>
          <w:tcPr>
            <w:tcW w:w="2249" w:type="dxa"/>
            <w:tcBorders/>
            <w:shd w:fill="FFFFFF" w:val="clear"/>
            <w:vAlign w:val="center"/>
          </w:tcPr>
          <w:p>
            <w:pPr>
              <w:pStyle w:val="TableContents"/>
              <w:bidi w:val="0"/>
              <w:spacing w:before="0" w:after="283"/>
              <w:jc w:val="left"/>
              <w:rPr>
                <w:b/>
              </w:rPr>
            </w:pPr>
            <w:r>
              <w:rPr>
                <w:b/>
              </w:rPr>
              <w:t xml:space="preserve">Exercise of Warrants Series H to </w:t>
            </w:r>
            <w:bookmarkStart w:id="207" w:name="xdx_900_eus-gaap--ClassOfWarrantOrRightN"/>
            <w:bookmarkEnd w:id="207"/>
            <w:r>
              <w:rPr>
                <w:b/>
              </w:rPr>
              <w:t xml:space="preserve">12,621,090 pre-funded warrants and </w:t>
            </w:r>
            <w:bookmarkStart w:id="208" w:name="xdx_900_ecustom--StockIssuedDuringPeriod"/>
            <w:bookmarkEnd w:id="208"/>
            <w:r>
              <w:rPr>
                <w:b/>
              </w:rPr>
              <w:t>292,996 common stock, net of $</w:t>
            </w:r>
            <w:bookmarkStart w:id="209" w:name="xdx_900_eus-gaap--ProceedsFromIssuanceOf"/>
            <w:bookmarkEnd w:id="209"/>
            <w:r>
              <w:rPr>
                <w:b/>
              </w:rPr>
              <w:t>1,000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0" w:name="xdx_98B_ecustom--StockIssuedDuringPeriod"/>
            <w:bookmarkEnd w:id="210"/>
          </w:p>
        </w:tc>
        <w:tc>
          <w:tcPr>
            <w:tcW w:w="1100" w:type="dxa"/>
            <w:tcBorders/>
            <w:shd w:fill="FFFFFF" w:val="clear"/>
            <w:vAlign w:val="center"/>
          </w:tcPr>
          <w:p>
            <w:pPr>
              <w:pStyle w:val="TableContents"/>
              <w:bidi w:val="0"/>
              <w:spacing w:before="0" w:after="283"/>
              <w:jc w:val="right"/>
              <w:rPr>
                <w:b/>
              </w:rPr>
            </w:pPr>
            <w:r>
              <w:rPr>
                <w:b/>
              </w:rPr>
              <w:t>292,996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16,853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16,854</w:t>
            </w:r>
          </w:p>
        </w:tc>
        <w:tc>
          <w:tcPr>
            <w:tcW w:w="113" w:type="dxa"/>
            <w:tcBorders/>
            <w:shd w:fill="FFFFFF" w:val="clear"/>
            <w:vAlign w:val="center"/>
          </w:tcPr>
          <w:p>
            <w:pPr>
              <w:pStyle w:val="TableContents"/>
              <w:bidi w:val="0"/>
              <w:spacing w:before="0" w:after="283"/>
              <w:jc w:val="left"/>
              <w:rPr/>
            </w:pPr>
            <w:r>
              <w:rPr/>
              <w:t> </w:t>
            </w:r>
            <w:bookmarkStart w:id="211" w:name="xdx_408_ecustom--StockIssuedDuringPeriod"/>
            <w:bookmarkEnd w:id="211"/>
          </w:p>
        </w:tc>
      </w:tr>
      <w:tr>
        <w:trPr/>
        <w:tc>
          <w:tcPr>
            <w:tcW w:w="2249" w:type="dxa"/>
            <w:tcBorders/>
            <w:shd w:fill="FFFFFF" w:val="clear"/>
            <w:vAlign w:val="center"/>
          </w:tcPr>
          <w:p>
            <w:pPr>
              <w:pStyle w:val="TableContents"/>
              <w:bidi w:val="0"/>
              <w:spacing w:before="0" w:after="283"/>
              <w:jc w:val="left"/>
              <w:rPr>
                <w:b/>
              </w:rPr>
            </w:pPr>
            <w:r>
              <w:rPr>
                <w:b/>
              </w:rPr>
              <w:t>Exercise of Warrants Series H to pre-funded warrants and common stock,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2" w:name="xdx_98A_ecustom--StockIssuedDuringPeriod"/>
            <w:bookmarkEnd w:id="212"/>
          </w:p>
        </w:tc>
        <w:tc>
          <w:tcPr>
            <w:tcW w:w="1100" w:type="dxa"/>
            <w:tcBorders/>
            <w:shd w:fill="FFFFFF" w:val="clear"/>
            <w:vAlign w:val="center"/>
          </w:tcPr>
          <w:p>
            <w:pPr>
              <w:pStyle w:val="TableContents"/>
              <w:bidi w:val="0"/>
              <w:spacing w:before="0" w:after="283"/>
              <w:jc w:val="right"/>
              <w:rPr>
                <w:b/>
              </w:rPr>
            </w:pPr>
            <w:r>
              <w:rPr>
                <w:b/>
              </w:rPr>
              <w:t>292,996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b/>
              </w:rPr>
            </w:pPr>
            <w:r>
              <w:rPr>
                <w:b/>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16,853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16,854</w:t>
            </w:r>
          </w:p>
        </w:tc>
        <w:tc>
          <w:tcPr>
            <w:tcW w:w="113" w:type="dxa"/>
            <w:tcBorders/>
            <w:shd w:fill="FFFFFF" w:val="clear"/>
            <w:vAlign w:val="center"/>
          </w:tcPr>
          <w:p>
            <w:pPr>
              <w:pStyle w:val="TableContents"/>
              <w:bidi w:val="0"/>
              <w:spacing w:before="0" w:after="283"/>
              <w:jc w:val="left"/>
              <w:rPr/>
            </w:pPr>
            <w:r>
              <w:rPr/>
              <w:t> </w:t>
            </w:r>
            <w:bookmarkStart w:id="213" w:name="xdx_40D_ecustom--SharebasedCompensationR"/>
            <w:bookmarkEnd w:id="213"/>
          </w:p>
        </w:tc>
      </w:tr>
      <w:tr>
        <w:trPr/>
        <w:tc>
          <w:tcPr>
            <w:tcW w:w="2249" w:type="dxa"/>
            <w:tcBorders/>
            <w:shd w:fill="CCEEFF" w:val="clear"/>
            <w:vAlign w:val="center"/>
          </w:tcPr>
          <w:p>
            <w:pPr>
              <w:pStyle w:val="TableContents"/>
              <w:bidi w:val="0"/>
              <w:spacing w:before="0" w:after="283"/>
              <w:jc w:val="left"/>
              <w:rPr>
                <w:b/>
              </w:rPr>
            </w:pPr>
            <w:r>
              <w:rPr>
                <w:b/>
              </w:rPr>
              <w:t xml:space="preserve">Share-based compensation related to stock, restricted stock, restricted stock units and stock options award, net of forfeitures of </w:t>
            </w:r>
            <w:bookmarkStart w:id="214" w:name="xdx_905_eus-gaap--StockIssuedDuringPerio"/>
            <w:bookmarkEnd w:id="214"/>
            <w:r>
              <w:rPr>
                <w:b/>
              </w:rPr>
              <w:t>37,292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5" w:name="xdx_98A_ecustom--SharebasedCompensationR"/>
            <w:bookmarkEnd w:id="215"/>
          </w:p>
        </w:tc>
        <w:tc>
          <w:tcPr>
            <w:tcW w:w="1100" w:type="dxa"/>
            <w:tcBorders/>
            <w:shd w:fill="CCEEFF" w:val="clear"/>
            <w:vAlign w:val="center"/>
          </w:tcPr>
          <w:p>
            <w:pPr>
              <w:pStyle w:val="TableContents"/>
              <w:bidi w:val="0"/>
              <w:spacing w:before="0" w:after="283"/>
              <w:jc w:val="right"/>
              <w:rPr>
                <w:b/>
              </w:rPr>
            </w:pPr>
            <w:r>
              <w:rPr>
                <w:b/>
              </w:rPr>
              <w:t>(37,292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216" w:name="xdx_F2D_zgYVqZtwe0bl"/>
            <w:bookmarkEnd w:id="216"/>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2,731</w:t>
            </w:r>
          </w:p>
        </w:tc>
        <w:tc>
          <w:tcPr>
            <w:tcW w:w="113" w:type="dxa"/>
            <w:tcBorders/>
            <w:shd w:fill="CCEEFF" w:val="clear"/>
            <w:vAlign w:val="center"/>
          </w:tcPr>
          <w:p>
            <w:pPr>
              <w:pStyle w:val="TableContents"/>
              <w:bidi w:val="0"/>
              <w:spacing w:before="0" w:after="283"/>
              <w:jc w:val="left"/>
              <w:rPr/>
            </w:pPr>
            <w:r>
              <w:rPr/>
              <w:t> </w:t>
            </w:r>
            <w:bookmarkStart w:id="217" w:name="xdx_409_ecustom--SharebasedCompensationR"/>
            <w:bookmarkEnd w:id="217"/>
          </w:p>
        </w:tc>
      </w:tr>
      <w:tr>
        <w:trPr/>
        <w:tc>
          <w:tcPr>
            <w:tcW w:w="2249" w:type="dxa"/>
            <w:tcBorders/>
            <w:shd w:fill="CCEEFF" w:val="clear"/>
            <w:vAlign w:val="center"/>
          </w:tcPr>
          <w:p>
            <w:pPr>
              <w:pStyle w:val="TableContents"/>
              <w:bidi w:val="0"/>
              <w:spacing w:before="0" w:after="283"/>
              <w:jc w:val="left"/>
              <w:rPr>
                <w:b/>
              </w:rPr>
            </w:pPr>
            <w:r>
              <w:rPr>
                <w:b/>
              </w:rPr>
              <w:t>Share-based compensation related to stock, restricted stock, restricted stock units and stock options award, net of forfeitures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8" w:name="xdx_984_ecustom--SharebasedCompensationR"/>
            <w:bookmarkEnd w:id="218"/>
          </w:p>
        </w:tc>
        <w:tc>
          <w:tcPr>
            <w:tcW w:w="1100" w:type="dxa"/>
            <w:tcBorders/>
            <w:shd w:fill="CCEEFF" w:val="clear"/>
            <w:vAlign w:val="center"/>
          </w:tcPr>
          <w:p>
            <w:pPr>
              <w:pStyle w:val="TableContents"/>
              <w:bidi w:val="0"/>
              <w:spacing w:before="0" w:after="283"/>
              <w:jc w:val="right"/>
              <w:rPr>
                <w:b/>
              </w:rPr>
            </w:pPr>
            <w:r>
              <w:rPr>
                <w:b/>
              </w:rPr>
              <w:t>(37,292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b/>
              </w:rPr>
            </w:pPr>
            <w:r>
              <w:rPr>
                <w:rFonts w:ascii="Times New Roman;Times;Serif" w:hAnsi="Times New Roman;Times;Serif"/>
                <w:b/>
              </w:rPr>
              <w:t>-</w:t>
            </w:r>
            <w:bookmarkStart w:id="219" w:name="xdx_F28_zXcjqHr09026"/>
            <w:bookmarkEnd w:id="219"/>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2,731</w:t>
            </w:r>
          </w:p>
        </w:tc>
        <w:tc>
          <w:tcPr>
            <w:tcW w:w="113" w:type="dxa"/>
            <w:tcBorders/>
            <w:shd w:fill="CCEEFF" w:val="clear"/>
            <w:vAlign w:val="center"/>
          </w:tcPr>
          <w:p>
            <w:pPr>
              <w:pStyle w:val="TableContents"/>
              <w:bidi w:val="0"/>
              <w:spacing w:before="0" w:after="283"/>
              <w:jc w:val="left"/>
              <w:rPr/>
            </w:pPr>
            <w:r>
              <w:rPr/>
              <w:t> </w:t>
            </w:r>
            <w:bookmarkStart w:id="220" w:name="xdx_431_c20240401__20240630_eus-gaap--St"/>
            <w:bookmarkEnd w:id="220"/>
          </w:p>
        </w:tc>
      </w:tr>
      <w:tr>
        <w:trPr/>
        <w:tc>
          <w:tcPr>
            <w:tcW w:w="2249" w:type="dxa"/>
            <w:tcBorders/>
            <w:shd w:fill="FFFFFF" w:val="clear"/>
            <w:vAlign w:val="center"/>
          </w:tcPr>
          <w:p>
            <w:pPr>
              <w:pStyle w:val="TableContents"/>
              <w:bidi w:val="0"/>
              <w:spacing w:before="0" w:after="283"/>
              <w:jc w:val="left"/>
              <w:rPr>
                <w:b/>
              </w:rPr>
            </w:pPr>
            <w:r>
              <w:rPr>
                <w:b/>
              </w:rPr>
              <w:t>BALANCE AT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1" w:name="xdx_986_eus-gaap--SharesOutstanding_iE_p"/>
            <w:bookmarkEnd w:id="22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25,196,479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2" w:name="xdx_983_eus-gaap--SharesOutstanding_iE_p"/>
            <w:bookmarkEnd w:id="222"/>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rPr>
              <w:t>-</w:t>
            </w:r>
            <w:bookmarkStart w:id="223" w:name="xdx_F23_ziMSwJ8AGcga"/>
            <w:bookmarkEnd w:id="223"/>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283,202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(236,442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46,763</w:t>
            </w:r>
          </w:p>
        </w:tc>
        <w:tc>
          <w:tcPr>
            <w:tcW w:w="113" w:type="dxa"/>
            <w:tcBorders/>
            <w:shd w:fill="FFFFFF" w:val="clear"/>
            <w:vAlign w:val="center"/>
          </w:tcPr>
          <w:p>
            <w:pPr>
              <w:pStyle w:val="TableContents"/>
              <w:bidi w:val="0"/>
              <w:spacing w:before="0" w:after="283"/>
              <w:jc w:val="left"/>
              <w:rPr/>
            </w:pPr>
            <w:r>
              <w:rPr/>
              <w:t> </w:t>
            </w:r>
            <w:bookmarkStart w:id="224" w:name="xdx_43C_c20240401__20240630_eus-gaap--St"/>
            <w:bookmarkEnd w:id="224"/>
          </w:p>
        </w:tc>
      </w:tr>
      <w:tr>
        <w:trPr/>
        <w:tc>
          <w:tcPr>
            <w:tcW w:w="2249" w:type="dxa"/>
            <w:tcBorders/>
            <w:shd w:fill="FFFFFF" w:val="clear"/>
            <w:vAlign w:val="center"/>
          </w:tcPr>
          <w:p>
            <w:pPr>
              <w:pStyle w:val="TableContents"/>
              <w:bidi w:val="0"/>
              <w:spacing w:before="0" w:after="283"/>
              <w:jc w:val="left"/>
              <w:rPr>
                <w:b/>
              </w:rPr>
            </w:pPr>
            <w:r>
              <w:rPr>
                <w:b/>
              </w:rPr>
              <w:t xml:space="preserve">Balance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5" w:name="xdx_981_eus-gaap--SharesOutstanding_iE_p"/>
            <w:bookmarkEnd w:id="225"/>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25,196,479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6" w:name="xdx_989_eus-gaap--SharesOutstanding_iE_p"/>
            <w:bookmarkEnd w:id="226"/>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1,718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rFonts w:ascii="Times New Roman;Times;Serif" w:hAnsi="Times New Roman;Times;Serif"/>
                <w:b/>
              </w:rPr>
              <w:t>-</w:t>
            </w:r>
            <w:bookmarkStart w:id="227" w:name="xdx_F2C_zA3gEc6qI5v"/>
            <w:bookmarkEnd w:id="227"/>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283,202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(236,442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46,763</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140"/>
        <w:gridCol w:w="23"/>
        <w:gridCol w:w="3620"/>
      </w:tblGrid>
      <w:tr>
        <w:trPr/>
        <w:tc>
          <w:tcPr>
            <w:tcW w:w="140" w:type="dxa"/>
            <w:tcBorders/>
            <w:vAlign w:val="center"/>
          </w:tcPr>
          <w:p>
            <w:pPr>
              <w:pStyle w:val="TableContents"/>
              <w:bidi w:val="0"/>
              <w:spacing w:before="0" w:after="283"/>
              <w:jc w:val="right"/>
              <w:rPr>
                <w:rFonts w:ascii="Times New Roman;Times;Serif" w:hAnsi="Times New Roman;Times;Serif"/>
                <w:b/>
                <w:sz w:val="20"/>
              </w:rPr>
            </w:pPr>
            <w:bookmarkStart w:id="228" w:name="xdx_F0E_zDk3sGd2d661"/>
            <w:bookmarkEnd w:id="228"/>
            <w:r>
              <w:rPr>
                <w:rFonts w:ascii="Times New Roman;Times;Serif" w:hAnsi="Times New Roman;Times;Serif"/>
                <w:b/>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both"/>
              <w:rPr>
                <w:rFonts w:ascii="Times New Roman;Times;Serif" w:hAnsi="Times New Roman;Times;Serif"/>
                <w:sz w:val="20"/>
              </w:rPr>
            </w:pPr>
            <w:bookmarkStart w:id="229" w:name="xdx_F18_zDrSKbI1IEke"/>
            <w:bookmarkEnd w:id="229"/>
            <w:r>
              <w:rPr>
                <w:rFonts w:ascii="Times New Roman;Times;Serif" w:hAnsi="Times New Roman;Times;Serif"/>
                <w:sz w:val="20"/>
              </w:rPr>
              <w:t>Represents an amount less than $1 thousand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i w:val="false"/>
          <w:caps w:val="false"/>
          <w:smallCaps w:val="false"/>
          <w:sz w:val="20"/>
        </w:rPr>
      </w:pPr>
      <w:bookmarkStart w:id="230" w:name="sk_004"/>
      <w:bookmarkEnd w:id="230"/>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1" w:name="xdx_309_112_pn3n3_zItqCMApAdv5"/>
      <w:bookmarkStart w:id="232" w:name="xdx_309_112_pn3n3_zItqCMApAdv5"/>
      <w:bookmarkEnd w:id="232"/>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33" w:name="xdx_49E_20240101__20240630_zuleern8joqd"/>
            <w:bookmarkEnd w:id="233"/>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4" w:name="xdx_490_20230101__20230630_z9FhMrh11oy3"/>
            <w:bookmarkEnd w:id="234"/>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235" w:name="xdx_40B_eus-gaap--NetCashProvidedByUsedI"/>
            <w:bookmarkEnd w:id="235"/>
          </w:p>
        </w:tc>
      </w:tr>
      <w:tr>
        <w:trPr/>
        <w:tc>
          <w:tcPr>
            <w:tcW w:w="80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6" w:name="xdx_409_eus-gaap--NetIncomeLoss_i01_maNC"/>
            <w:bookmarkEnd w:id="236"/>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(14,941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(9,333</w:t>
            </w:r>
          </w:p>
        </w:tc>
        <w:tc>
          <w:tcPr>
            <w:tcW w:w="110" w:type="dxa"/>
            <w:tcBorders/>
            <w:shd w:fill="FFFFFF" w:val="clear"/>
            <w:vAlign w:val="center"/>
          </w:tcPr>
          <w:p>
            <w:pPr>
              <w:pStyle w:val="TableContents"/>
              <w:bidi w:val="0"/>
              <w:spacing w:before="0" w:after="283"/>
              <w:jc w:val="left"/>
              <w:rPr/>
            </w:pPr>
            <w:r>
              <w:rPr/>
              <w:t>)</w:t>
            </w:r>
            <w:bookmarkStart w:id="237" w:name="xdx_409_eus-gaap--AdjustmentsNoncashItem"/>
            <w:bookmarkEnd w:id="237"/>
          </w:p>
        </w:tc>
      </w:tr>
      <w:tr>
        <w:trPr/>
        <w:tc>
          <w:tcPr>
            <w:tcW w:w="8090" w:type="dxa"/>
            <w:tcBorders/>
            <w:shd w:fill="CCEEFF" w:val="clear"/>
            <w:vAlign w:val="center"/>
          </w:tcPr>
          <w:p>
            <w:pPr>
              <w:pStyle w:val="TableContents"/>
              <w:bidi w:val="0"/>
              <w:spacing w:before="0" w:after="283"/>
              <w:jc w:val="left"/>
              <w:rPr/>
            </w:pPr>
            <w:r>
              <w:rPr/>
              <w:t>Adjustments required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8" w:name="xdx_40D_eus-gaap--Depreciation_i02_maNCP"/>
            <w:bookmarkEnd w:id="238"/>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w:t>
            </w:r>
          </w:p>
        </w:tc>
        <w:tc>
          <w:tcPr>
            <w:tcW w:w="110" w:type="dxa"/>
            <w:tcBorders/>
            <w:shd w:fill="FFFFFF" w:val="clear"/>
            <w:vAlign w:val="center"/>
          </w:tcPr>
          <w:p>
            <w:pPr>
              <w:pStyle w:val="TableContents"/>
              <w:bidi w:val="0"/>
              <w:spacing w:before="0" w:after="283"/>
              <w:jc w:val="left"/>
              <w:rPr/>
            </w:pPr>
            <w:r>
              <w:rPr/>
              <w:t> </w:t>
            </w:r>
            <w:bookmarkStart w:id="239" w:name="xdx_40D_eus-gaap--GainLossOnSaleOfProper"/>
            <w:bookmarkEnd w:id="239"/>
          </w:p>
        </w:tc>
      </w:tr>
      <w:tr>
        <w:trPr/>
        <w:tc>
          <w:tcPr>
            <w:tcW w:w="8090" w:type="dxa"/>
            <w:tcBorders/>
            <w:shd w:fill="CCEEFF" w:val="clear"/>
            <w:vAlign w:val="center"/>
          </w:tcPr>
          <w:p>
            <w:pPr>
              <w:pStyle w:val="TableContents"/>
              <w:bidi w:val="0"/>
              <w:spacing w:before="0" w:after="283"/>
              <w:jc w:val="left"/>
              <w:rPr/>
            </w:pPr>
            <w:r>
              <w:rPr/>
              <w:t>Gain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bookmarkStart w:id="240" w:name="xdx_405_ecustom--LossGainOnAmountsFunded"/>
            <w:bookmarkEnd w:id="240"/>
          </w:p>
        </w:tc>
      </w:tr>
      <w:tr>
        <w:trPr/>
        <w:tc>
          <w:tcPr>
            <w:tcW w:w="8090" w:type="dxa"/>
            <w:tcBorders/>
            <w:shd w:fill="FFFFFF" w:val="clear"/>
            <w:vAlign w:val="center"/>
          </w:tcPr>
          <w:p>
            <w:pPr>
              <w:pStyle w:val="TableContents"/>
              <w:bidi w:val="0"/>
              <w:spacing w:before="0" w:after="283"/>
              <w:jc w:val="left"/>
              <w:rPr/>
            </w:pPr>
            <w:r>
              <w:rPr/>
              <w:t>Loss on amounts funded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w:t>
            </w:r>
          </w:p>
        </w:tc>
        <w:tc>
          <w:tcPr>
            <w:tcW w:w="110" w:type="dxa"/>
            <w:tcBorders/>
            <w:shd w:fill="FFFFFF" w:val="clear"/>
            <w:vAlign w:val="center"/>
          </w:tcPr>
          <w:p>
            <w:pPr>
              <w:pStyle w:val="TableContents"/>
              <w:bidi w:val="0"/>
              <w:spacing w:before="0" w:after="283"/>
              <w:jc w:val="left"/>
              <w:rPr/>
            </w:pPr>
            <w:r>
              <w:rPr/>
              <w:t> </w:t>
            </w:r>
            <w:bookmarkStart w:id="241" w:name="xdx_407_ecustom--ChangesInFairValueOfMar"/>
            <w:bookmarkEnd w:id="241"/>
          </w:p>
        </w:tc>
      </w:tr>
      <w:tr>
        <w:trPr/>
        <w:tc>
          <w:tcPr>
            <w:tcW w:w="8090" w:type="dxa"/>
            <w:tcBorders/>
            <w:shd w:fill="CCEEFF" w:val="clear"/>
            <w:vAlign w:val="center"/>
          </w:tcPr>
          <w:p>
            <w:pPr>
              <w:pStyle w:val="TableContents"/>
              <w:bidi w:val="0"/>
              <w:spacing w:before="0" w:after="283"/>
              <w:jc w:val="left"/>
              <w:rPr/>
            </w:pPr>
            <w:r>
              <w:rPr/>
              <w:t>Changes in fair value of marketable securities, net of interest received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 </w:t>
            </w:r>
            <w:bookmarkStart w:id="242" w:name="xdx_40B_ecustom--ChangeInLiabilityForEmp"/>
            <w:bookmarkEnd w:id="242"/>
          </w:p>
        </w:tc>
      </w:tr>
      <w:tr>
        <w:trPr/>
        <w:tc>
          <w:tcPr>
            <w:tcW w:w="8090" w:type="dxa"/>
            <w:tcBorders/>
            <w:shd w:fill="FFFFFF" w:val="clear"/>
            <w:vAlign w:val="center"/>
          </w:tcPr>
          <w:p>
            <w:pPr>
              <w:pStyle w:val="TableContents"/>
              <w:bidi w:val="0"/>
              <w:spacing w:before="0" w:after="283"/>
              <w:jc w:val="left"/>
              <w:rPr/>
            </w:pPr>
            <w:r>
              <w:rPr/>
              <w:t>Change in liability for employees’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 </w:t>
            </w:r>
            <w:bookmarkStart w:id="243" w:name="xdx_405_eus-gaap--OtherNoncashIncomeExpe"/>
            <w:bookmarkEnd w:id="243"/>
          </w:p>
        </w:tc>
      </w:tr>
      <w:tr>
        <w:trPr/>
        <w:tc>
          <w:tcPr>
            <w:tcW w:w="8090" w:type="dxa"/>
            <w:tcBorders/>
            <w:shd w:fill="CCEEFF" w:val="clear"/>
            <w:vAlign w:val="center"/>
          </w:tcPr>
          <w:p>
            <w:pPr>
              <w:pStyle w:val="TableContents"/>
              <w:bidi w:val="0"/>
              <w:spacing w:before="0" w:after="283"/>
              <w:jc w:val="left"/>
              <w:rPr/>
            </w:pPr>
            <w:r>
              <w:rPr/>
              <w:t>Other financial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 </w:t>
            </w:r>
            <w:bookmarkStart w:id="244" w:name="xdx_40E_ecustom--ChangeInRightOfUseAsset"/>
            <w:bookmarkEnd w:id="244"/>
          </w:p>
        </w:tc>
      </w:tr>
      <w:tr>
        <w:trPr/>
        <w:tc>
          <w:tcPr>
            <w:tcW w:w="8090" w:type="dxa"/>
            <w:tcBorders/>
            <w:shd w:fill="FFFFFF" w:val="clear"/>
            <w:vAlign w:val="center"/>
          </w:tcPr>
          <w:p>
            <w:pPr>
              <w:pStyle w:val="TableContents"/>
              <w:bidi w:val="0"/>
              <w:spacing w:before="0" w:after="283"/>
              <w:jc w:val="left"/>
              <w:rPr/>
            </w:pPr>
            <w:r>
              <w:rPr/>
              <w:t>Change in operating right of use asset and leasing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bookmarkStart w:id="245" w:name="xdx_404_eus-gaap--ShareBasedCompensation"/>
            <w:bookmarkEnd w:id="245"/>
          </w:p>
        </w:tc>
      </w:tr>
      <w:tr>
        <w:trPr/>
        <w:tc>
          <w:tcPr>
            <w:tcW w:w="809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1,219</w:t>
            </w:r>
          </w:p>
        </w:tc>
        <w:tc>
          <w:tcPr>
            <w:tcW w:w="110" w:type="dxa"/>
            <w:tcBorders/>
            <w:shd w:fill="CCEEFF" w:val="clear"/>
            <w:vAlign w:val="center"/>
          </w:tcPr>
          <w:p>
            <w:pPr>
              <w:pStyle w:val="TableContents"/>
              <w:bidi w:val="0"/>
              <w:spacing w:before="0" w:after="283"/>
              <w:jc w:val="left"/>
              <w:rPr/>
            </w:pPr>
            <w:r>
              <w:rPr/>
              <w:t> </w:t>
            </w:r>
            <w:bookmarkStart w:id="246" w:name="xdx_402_ecustom--InterestIncomeFromShort"/>
            <w:bookmarkEnd w:id="246"/>
          </w:p>
        </w:tc>
      </w:tr>
      <w:tr>
        <w:trPr/>
        <w:tc>
          <w:tcPr>
            <w:tcW w:w="8090" w:type="dxa"/>
            <w:tcBorders/>
            <w:shd w:fill="FFFFFF" w:val="clear"/>
            <w:vAlign w:val="center"/>
          </w:tcPr>
          <w:p>
            <w:pPr>
              <w:pStyle w:val="TableContents"/>
              <w:bidi w:val="0"/>
              <w:spacing w:before="0" w:after="283"/>
              <w:jc w:val="left"/>
              <w:rPr/>
            </w:pPr>
            <w:r>
              <w:rPr/>
              <w:t>Decrease in interest receivable on short term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w:t>
            </w:r>
          </w:p>
        </w:tc>
        <w:tc>
          <w:tcPr>
            <w:tcW w:w="110" w:type="dxa"/>
            <w:tcBorders/>
            <w:shd w:fill="FFFFFF" w:val="clear"/>
            <w:vAlign w:val="center"/>
          </w:tcPr>
          <w:p>
            <w:pPr>
              <w:pStyle w:val="TableContents"/>
              <w:bidi w:val="0"/>
              <w:spacing w:before="0" w:after="283"/>
              <w:jc w:val="left"/>
              <w:rPr/>
            </w:pPr>
            <w:r>
              <w:rPr/>
              <w:t> </w:t>
            </w:r>
            <w:bookmarkStart w:id="247" w:name="xdx_40C_eus-gaap--IncreaseDecreaseInOper"/>
            <w:bookmarkEnd w:id="247"/>
          </w:p>
        </w:tc>
      </w:tr>
      <w:tr>
        <w:trPr/>
        <w:tc>
          <w:tcPr>
            <w:tcW w:w="8090" w:type="dxa"/>
            <w:tcBorders/>
            <w:shd w:fill="CCEEFF" w:val="clear"/>
            <w:vAlign w:val="center"/>
          </w:tcPr>
          <w:p>
            <w:pPr>
              <w:pStyle w:val="TableContents"/>
              <w:bidi w:val="0"/>
              <w:spacing w:before="0" w:after="283"/>
              <w:jc w:val="left"/>
              <w:rPr/>
            </w:pPr>
            <w:r>
              <w:rPr/>
              <w:t>Changes in operating asset and liability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8" w:name="xdx_409_eus-gaap--IncreaseDecreaseInPrep"/>
            <w:bookmarkEnd w:id="248"/>
          </w:p>
        </w:tc>
      </w:tr>
      <w:tr>
        <w:trPr/>
        <w:tc>
          <w:tcPr>
            <w:tcW w:w="8090" w:type="dxa"/>
            <w:tcBorders/>
            <w:shd w:fill="FFFFFF" w:val="clear"/>
            <w:vAlign w:val="center"/>
          </w:tcPr>
          <w:p>
            <w:pPr>
              <w:pStyle w:val="TableContents"/>
              <w:bidi w:val="0"/>
              <w:spacing w:before="0" w:after="283"/>
              <w:jc w:val="left"/>
              <w:rPr/>
            </w:pPr>
            <w:r>
              <w:rPr/>
              <w:t>Decrease (increase) in 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599</w:t>
            </w:r>
          </w:p>
        </w:tc>
        <w:tc>
          <w:tcPr>
            <w:tcW w:w="110" w:type="dxa"/>
            <w:tcBorders/>
            <w:shd w:fill="FFFFFF" w:val="clear"/>
            <w:vAlign w:val="center"/>
          </w:tcPr>
          <w:p>
            <w:pPr>
              <w:pStyle w:val="TableContents"/>
              <w:bidi w:val="0"/>
              <w:spacing w:before="0" w:after="283"/>
              <w:jc w:val="left"/>
              <w:rPr/>
            </w:pPr>
            <w:r>
              <w:rPr/>
              <w:t> </w:t>
            </w:r>
            <w:bookmarkStart w:id="249" w:name="xdx_40F_eus-gaap--IncreaseDecreaseInAcco"/>
            <w:bookmarkEnd w:id="249"/>
          </w:p>
        </w:tc>
      </w:tr>
      <w:tr>
        <w:trPr/>
        <w:tc>
          <w:tcPr>
            <w:tcW w:w="8090" w:type="dxa"/>
            <w:tcBorders/>
            <w:shd w:fill="CCEEFF" w:val="clear"/>
            <w:vAlign w:val="center"/>
          </w:tcPr>
          <w:p>
            <w:pPr>
              <w:pStyle w:val="TableContents"/>
              <w:bidi w:val="0"/>
              <w:spacing w:before="0" w:after="283"/>
              <w:jc w:val="left"/>
              <w:rPr/>
            </w:pPr>
            <w:r>
              <w:rPr/>
              <w:t>Decrease (increase) in trade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(436</w:t>
            </w:r>
          </w:p>
        </w:tc>
        <w:tc>
          <w:tcPr>
            <w:tcW w:w="110" w:type="dxa"/>
            <w:tcBorders/>
            <w:shd w:fill="CCEEFF" w:val="clear"/>
            <w:vAlign w:val="center"/>
          </w:tcPr>
          <w:p>
            <w:pPr>
              <w:pStyle w:val="TableContents"/>
              <w:bidi w:val="0"/>
              <w:spacing w:before="0" w:after="283"/>
              <w:jc w:val="left"/>
              <w:rPr/>
            </w:pPr>
            <w:r>
              <w:rPr/>
              <w:t>)</w:t>
            </w:r>
            <w:bookmarkStart w:id="250" w:name="xdx_40C_eus-gaap--IncreaseDecreaseInOthe"/>
            <w:bookmarkEnd w:id="250"/>
          </w:p>
        </w:tc>
      </w:tr>
      <w:tr>
        <w:trPr/>
        <w:tc>
          <w:tcPr>
            <w:tcW w:w="8090" w:type="dxa"/>
            <w:tcBorders/>
            <w:shd w:fill="FFFFFF" w:val="clear"/>
            <w:vAlign w:val="center"/>
          </w:tcPr>
          <w:p>
            <w:pPr>
              <w:pStyle w:val="TableContents"/>
              <w:bidi w:val="0"/>
              <w:spacing w:before="0" w:after="283"/>
              <w:jc w:val="left"/>
              <w:rPr/>
            </w:pPr>
            <w:r>
              <w:rPr/>
              <w:t>Decrease (increase) in other receivables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w:t>
            </w:r>
            <w:bookmarkStart w:id="251" w:name="xdx_40C_eus-gaap--IncreaseDecreaseInInve"/>
            <w:bookmarkEnd w:id="251"/>
          </w:p>
        </w:tc>
      </w:tr>
      <w:tr>
        <w:trPr/>
        <w:tc>
          <w:tcPr>
            <w:tcW w:w="8090" w:type="dxa"/>
            <w:tcBorders/>
            <w:shd w:fill="CCEEFF" w:val="clear"/>
            <w:vAlign w:val="center"/>
          </w:tcPr>
          <w:p>
            <w:pPr>
              <w:pStyle w:val="TableContents"/>
              <w:bidi w:val="0"/>
              <w:spacing w:before="0" w:after="283"/>
              <w:jc w:val="left"/>
              <w:rPr/>
            </w:pPr>
            <w:r>
              <w:rPr/>
              <w:t>Increase in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w:t>
            </w:r>
          </w:p>
        </w:tc>
        <w:tc>
          <w:tcPr>
            <w:tcW w:w="110" w:type="dxa"/>
            <w:tcBorders/>
            <w:shd w:fill="CCEEFF" w:val="clear"/>
            <w:vAlign w:val="center"/>
          </w:tcPr>
          <w:p>
            <w:pPr>
              <w:pStyle w:val="TableContents"/>
              <w:bidi w:val="0"/>
              <w:spacing w:before="0" w:after="283"/>
              <w:jc w:val="left"/>
              <w:rPr/>
            </w:pPr>
            <w:r>
              <w:rPr/>
              <w:t>)</w:t>
            </w:r>
            <w:bookmarkStart w:id="252" w:name="xdx_401_eus-gaap--IncreaseDecreaseInAcco"/>
            <w:bookmarkEnd w:id="252"/>
          </w:p>
        </w:tc>
      </w:tr>
      <w:tr>
        <w:trPr/>
        <w:tc>
          <w:tcPr>
            <w:tcW w:w="8090" w:type="dxa"/>
            <w:tcBorders/>
            <w:shd w:fill="FFFFFF" w:val="clear"/>
            <w:vAlign w:val="center"/>
          </w:tcPr>
          <w:p>
            <w:pPr>
              <w:pStyle w:val="TableContents"/>
              <w:bidi w:val="0"/>
              <w:spacing w:before="0" w:after="283"/>
              <w:jc w:val="left"/>
              <w:rPr/>
            </w:pPr>
            <w:r>
              <w:rPr/>
              <w:t>Increase (decrease) in 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w:t>
            </w:r>
          </w:p>
        </w:tc>
        <w:tc>
          <w:tcPr>
            <w:tcW w:w="110" w:type="dxa"/>
            <w:tcBorders/>
            <w:shd w:fill="FFFFFF" w:val="clear"/>
            <w:vAlign w:val="center"/>
          </w:tcPr>
          <w:p>
            <w:pPr>
              <w:pStyle w:val="TableContents"/>
              <w:bidi w:val="0"/>
              <w:spacing w:before="0" w:after="283"/>
              <w:jc w:val="left"/>
              <w:rPr/>
            </w:pPr>
            <w:r>
              <w:rPr/>
              <w:t> </w:t>
            </w:r>
            <w:bookmarkStart w:id="253" w:name="xdx_400_eus-gaap--IncreaseDecreaseInOthe"/>
            <w:bookmarkEnd w:id="253"/>
          </w:p>
        </w:tc>
      </w:tr>
      <w:tr>
        <w:trPr/>
        <w:tc>
          <w:tcPr>
            <w:tcW w:w="8090" w:type="dxa"/>
            <w:tcBorders/>
            <w:shd w:fill="CCEEFF" w:val="clear"/>
            <w:vAlign w:val="center"/>
          </w:tcPr>
          <w:p>
            <w:pPr>
              <w:pStyle w:val="TableContents"/>
              <w:bidi w:val="0"/>
              <w:spacing w:before="0" w:after="283"/>
              <w:jc w:val="left"/>
              <w:rPr/>
            </w:pPr>
            <w:r>
              <w:rPr/>
              <w:t>Decrease in other payables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(349</w:t>
            </w:r>
          </w:p>
        </w:tc>
        <w:tc>
          <w:tcPr>
            <w:tcW w:w="110" w:type="dxa"/>
            <w:tcBorders/>
            <w:shd w:fill="CCEEFF" w:val="clear"/>
            <w:vAlign w:val="center"/>
          </w:tcPr>
          <w:p>
            <w:pPr>
              <w:pStyle w:val="TableContents"/>
              <w:bidi w:val="0"/>
              <w:spacing w:before="0" w:after="283"/>
              <w:jc w:val="left"/>
              <w:rPr/>
            </w:pPr>
            <w:r>
              <w:rPr/>
              <w:t>)</w:t>
            </w:r>
            <w:bookmarkStart w:id="254" w:name="xdx_407_eus-gaap--NetCashProvidedByUsedI"/>
            <w:bookmarkEnd w:id="254"/>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(9,418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(8,156</w:t>
            </w:r>
          </w:p>
        </w:tc>
        <w:tc>
          <w:tcPr>
            <w:tcW w:w="110" w:type="dxa"/>
            <w:tcBorders/>
            <w:shd w:fill="FFFFFF" w:val="clear"/>
            <w:vAlign w:val="center"/>
          </w:tcPr>
          <w:p>
            <w:pPr>
              <w:pStyle w:val="TableContents"/>
              <w:bidi w:val="0"/>
              <w:spacing w:before="0" w:after="283"/>
              <w:jc w:val="left"/>
              <w:rPr/>
            </w:pPr>
            <w:r>
              <w:rPr/>
              <w:t>)</w:t>
            </w:r>
            <w:bookmarkStart w:id="255" w:name="xdx_40E_eus-gaap--NetCashProvidedByUsedI"/>
            <w:bookmarkEnd w:id="255"/>
          </w:p>
        </w:tc>
      </w:tr>
      <w:tr>
        <w:trPr/>
        <w:tc>
          <w:tcPr>
            <w:tcW w:w="80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6" w:name="xdx_40D_eus-gaap--PaymentsToAcquireOther"/>
            <w:bookmarkEnd w:id="256"/>
          </w:p>
        </w:tc>
      </w:tr>
      <w:tr>
        <w:trPr/>
        <w:tc>
          <w:tcPr>
            <w:tcW w:w="8090" w:type="dxa"/>
            <w:tcBorders/>
            <w:shd w:fill="FFFFFF" w:val="clear"/>
            <w:vAlign w:val="center"/>
          </w:tcPr>
          <w:p>
            <w:pPr>
              <w:pStyle w:val="TableContents"/>
              <w:bidi w:val="0"/>
              <w:spacing w:before="0" w:after="283"/>
              <w:jc w:val="left"/>
              <w:rPr/>
            </w:pPr>
            <w:r>
              <w:rPr/>
              <w:t>Investment in short-term bank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(5,500</w:t>
            </w:r>
          </w:p>
        </w:tc>
        <w:tc>
          <w:tcPr>
            <w:tcW w:w="110" w:type="dxa"/>
            <w:tcBorders/>
            <w:shd w:fill="FFFFFF" w:val="clear"/>
            <w:vAlign w:val="center"/>
          </w:tcPr>
          <w:p>
            <w:pPr>
              <w:pStyle w:val="TableContents"/>
              <w:bidi w:val="0"/>
              <w:spacing w:before="0" w:after="283"/>
              <w:jc w:val="left"/>
              <w:rPr/>
            </w:pPr>
            <w:r>
              <w:rPr/>
              <w:t>)</w:t>
            </w:r>
            <w:bookmarkStart w:id="257" w:name="xdx_40D_eus-gaap--PaymentsToAcquirePrope"/>
            <w:bookmarkEnd w:id="257"/>
          </w:p>
        </w:tc>
      </w:tr>
      <w:tr>
        <w:trPr/>
        <w:tc>
          <w:tcPr>
            <w:tcW w:w="809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bookmarkStart w:id="258" w:name="xdx_400_eus-gaap--ProceedsFromSaleOfProp"/>
            <w:bookmarkEnd w:id="258"/>
          </w:p>
        </w:tc>
      </w:tr>
      <w:tr>
        <w:trPr/>
        <w:tc>
          <w:tcPr>
            <w:tcW w:w="8090" w:type="dxa"/>
            <w:tcBorders/>
            <w:shd w:fill="FFFFFF" w:val="clear"/>
            <w:vAlign w:val="center"/>
          </w:tcPr>
          <w:p>
            <w:pPr>
              <w:pStyle w:val="TableContents"/>
              <w:bidi w:val="0"/>
              <w:spacing w:before="0" w:after="283"/>
              <w:jc w:val="left"/>
              <w:rPr/>
            </w:pPr>
            <w:r>
              <w:rPr/>
              <w:t>Proceeds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bookmarkStart w:id="259" w:name="xdx_406_eus-gaap--PaymentsToAcquireMarke"/>
            <w:bookmarkEnd w:id="259"/>
          </w:p>
        </w:tc>
      </w:tr>
      <w:tr>
        <w:trPr/>
        <w:tc>
          <w:tcPr>
            <w:tcW w:w="8090" w:type="dxa"/>
            <w:tcBorders/>
            <w:shd w:fill="CCEEFF" w:val="clear"/>
            <w:vAlign w:val="center"/>
          </w:tcPr>
          <w:p>
            <w:pPr>
              <w:pStyle w:val="TableContents"/>
              <w:bidi w:val="0"/>
              <w:spacing w:before="0" w:after="283"/>
              <w:jc w:val="left"/>
              <w:rPr/>
            </w:pPr>
            <w:r>
              <w:rPr/>
              <w:t>Investments in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(28,838</w:t>
            </w:r>
          </w:p>
        </w:tc>
        <w:tc>
          <w:tcPr>
            <w:tcW w:w="110" w:type="dxa"/>
            <w:tcBorders/>
            <w:shd w:fill="CCEEFF" w:val="clear"/>
            <w:vAlign w:val="center"/>
          </w:tcPr>
          <w:p>
            <w:pPr>
              <w:pStyle w:val="TableContents"/>
              <w:bidi w:val="0"/>
              <w:spacing w:before="0" w:after="283"/>
              <w:jc w:val="left"/>
              <w:rPr/>
            </w:pPr>
            <w:r>
              <w:rPr/>
              <w:t>)</w:t>
            </w:r>
            <w:bookmarkStart w:id="260" w:name="xdx_407_ecustom--ProceedsFromMaturedMark"/>
            <w:bookmarkEnd w:id="260"/>
          </w:p>
        </w:tc>
      </w:tr>
      <w:tr>
        <w:trPr/>
        <w:tc>
          <w:tcPr>
            <w:tcW w:w="8090" w:type="dxa"/>
            <w:tcBorders/>
            <w:shd w:fill="FFFFFF" w:val="clear"/>
            <w:vAlign w:val="center"/>
          </w:tcPr>
          <w:p>
            <w:pPr>
              <w:pStyle w:val="TableContents"/>
              <w:bidi w:val="0"/>
              <w:spacing w:before="0" w:after="283"/>
              <w:jc w:val="left"/>
              <w:rPr/>
            </w:pPr>
            <w:r>
              <w:rPr/>
              <w:t>Proceeds from matured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1" w:name="xdx_408_eus-gaap--ProceedsFromSaleMaturi"/>
            <w:bookmarkEnd w:id="261"/>
          </w:p>
        </w:tc>
      </w:tr>
      <w:tr>
        <w:trPr/>
        <w:tc>
          <w:tcPr>
            <w:tcW w:w="8090" w:type="dxa"/>
            <w:tcBorders/>
            <w:shd w:fill="CCEEFF" w:val="clear"/>
            <w:vAlign w:val="center"/>
          </w:tcPr>
          <w:p>
            <w:pPr>
              <w:pStyle w:val="TableContents"/>
              <w:bidi w:val="0"/>
              <w:spacing w:before="0" w:after="283"/>
              <w:jc w:val="left"/>
              <w:rPr/>
            </w:pPr>
            <w:r>
              <w:rPr/>
              <w:t>Withdrawal from short-term bank 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12,000</w:t>
            </w:r>
          </w:p>
        </w:tc>
        <w:tc>
          <w:tcPr>
            <w:tcW w:w="110" w:type="dxa"/>
            <w:tcBorders/>
            <w:shd w:fill="CCEEFF" w:val="clear"/>
            <w:vAlign w:val="center"/>
          </w:tcPr>
          <w:p>
            <w:pPr>
              <w:pStyle w:val="TableContents"/>
              <w:bidi w:val="0"/>
              <w:spacing w:before="0" w:after="283"/>
              <w:jc w:val="left"/>
              <w:rPr/>
            </w:pPr>
            <w:r>
              <w:rPr/>
              <w:t> </w:t>
            </w:r>
            <w:bookmarkStart w:id="262" w:name="xdx_407_ecustom--AmountsWithdrawnInRespe"/>
            <w:bookmarkEnd w:id="262"/>
          </w:p>
        </w:tc>
      </w:tr>
      <w:tr>
        <w:trPr/>
        <w:tc>
          <w:tcPr>
            <w:tcW w:w="8090" w:type="dxa"/>
            <w:tcBorders/>
            <w:shd w:fill="FFFFFF" w:val="clear"/>
            <w:vAlign w:val="center"/>
          </w:tcPr>
          <w:p>
            <w:pPr>
              <w:pStyle w:val="TableContents"/>
              <w:bidi w:val="0"/>
              <w:spacing w:before="0" w:after="283"/>
              <w:jc w:val="left"/>
              <w:rPr/>
            </w:pPr>
            <w:r>
              <w:rPr/>
              <w:t>Amounts funded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w:t>
            </w:r>
            <w:bookmarkStart w:id="263" w:name="xdx_404_eus-gaap--NetCashProvidedByUsedI"/>
            <w:bookmarkEnd w:id="263"/>
          </w:p>
        </w:tc>
      </w:tr>
      <w:tr>
        <w:trPr/>
        <w:tc>
          <w:tcPr>
            <w:tcW w:w="8090"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(22,442</w:t>
            </w:r>
          </w:p>
        </w:tc>
        <w:tc>
          <w:tcPr>
            <w:tcW w:w="110" w:type="dxa"/>
            <w:tcBorders/>
            <w:shd w:fill="CCEEFF" w:val="clear"/>
            <w:vAlign w:val="center"/>
          </w:tcPr>
          <w:p>
            <w:pPr>
              <w:pStyle w:val="TableContents"/>
              <w:bidi w:val="0"/>
              <w:spacing w:before="0" w:after="283"/>
              <w:jc w:val="left"/>
              <w:rPr/>
            </w:pPr>
            <w:r>
              <w:rPr/>
              <w:t>)</w:t>
            </w:r>
            <w:bookmarkStart w:id="264" w:name="xdx_406_eus-gaap--NetCashProvidedByUsedI"/>
            <w:bookmarkEnd w:id="264"/>
          </w:p>
        </w:tc>
      </w:tr>
      <w:tr>
        <w:trPr/>
        <w:tc>
          <w:tcPr>
            <w:tcW w:w="809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5" w:name="xdx_401_eus-gaap--ProceedsFromWarrantExe"/>
            <w:bookmarkEnd w:id="265"/>
          </w:p>
        </w:tc>
      </w:tr>
      <w:tr>
        <w:trPr/>
        <w:tc>
          <w:tcPr>
            <w:tcW w:w="8090"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6" w:name="xdx_40A_eus-gaap--ProceedsFromIssuanceOr"/>
            <w:bookmarkEnd w:id="266"/>
          </w:p>
        </w:tc>
      </w:tr>
      <w:tr>
        <w:trPr/>
        <w:tc>
          <w:tcPr>
            <w:tcW w:w="8090" w:type="dxa"/>
            <w:tcBorders/>
            <w:shd w:fill="FFFFFF" w:val="clear"/>
            <w:vAlign w:val="center"/>
          </w:tcPr>
          <w:p>
            <w:pPr>
              <w:pStyle w:val="TableContents"/>
              <w:bidi w:val="0"/>
              <w:spacing w:before="0" w:after="283"/>
              <w:jc w:val="left"/>
              <w:rPr/>
            </w:pPr>
            <w:r>
              <w:rPr/>
              <w:t>Proceeds from issuance of shares and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37,534</w:t>
            </w:r>
          </w:p>
        </w:tc>
        <w:tc>
          <w:tcPr>
            <w:tcW w:w="110" w:type="dxa"/>
            <w:tcBorders/>
            <w:shd w:fill="FFFFFF" w:val="clear"/>
            <w:vAlign w:val="center"/>
          </w:tcPr>
          <w:p>
            <w:pPr>
              <w:pStyle w:val="TableContents"/>
              <w:bidi w:val="0"/>
              <w:spacing w:before="0" w:after="283"/>
              <w:jc w:val="left"/>
              <w:rPr/>
            </w:pPr>
            <w:r>
              <w:rPr/>
              <w:t> </w:t>
            </w:r>
            <w:bookmarkStart w:id="267" w:name="xdx_407_eus-gaap--NetCashProvidedByUsedI"/>
            <w:bookmarkEnd w:id="267"/>
          </w:p>
        </w:tc>
      </w:tr>
      <w:tr>
        <w:trPr/>
        <w:tc>
          <w:tcPr>
            <w:tcW w:w="80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17,854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37,534</w:t>
            </w:r>
          </w:p>
        </w:tc>
        <w:tc>
          <w:tcPr>
            <w:tcW w:w="110" w:type="dxa"/>
            <w:tcBorders/>
            <w:shd w:fill="CCEEFF" w:val="clear"/>
            <w:vAlign w:val="center"/>
          </w:tcPr>
          <w:p>
            <w:pPr>
              <w:pStyle w:val="TableContents"/>
              <w:bidi w:val="0"/>
              <w:spacing w:before="0" w:after="283"/>
              <w:jc w:val="left"/>
              <w:rPr/>
            </w:pPr>
            <w:r>
              <w:rPr/>
              <w:t> </w:t>
            </w:r>
            <w:bookmarkStart w:id="268" w:name="xdx_400_eus-gaap--EffectOfExchangeRateOn"/>
            <w:bookmarkEnd w:id="268"/>
          </w:p>
        </w:tc>
      </w:tr>
      <w:tr>
        <w:trPr/>
        <w:tc>
          <w:tcPr>
            <w:tcW w:w="8090"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w:t>
            </w:r>
            <w:bookmarkStart w:id="269" w:name="xdx_405_eus-gaap--CashCashEquivalentsRes"/>
            <w:bookmarkEnd w:id="269"/>
          </w:p>
        </w:tc>
      </w:tr>
      <w:tr>
        <w:trPr/>
        <w:tc>
          <w:tcPr>
            <w:tcW w:w="8090" w:type="dxa"/>
            <w:tcBorders/>
            <w:shd w:fill="CCEEFF" w:val="clear"/>
            <w:vAlign w:val="center"/>
          </w:tcPr>
          <w:p>
            <w:pPr>
              <w:pStyle w:val="TableContents"/>
              <w:bidi w:val="0"/>
              <w:spacing w:before="0" w:after="283"/>
              <w:jc w:val="left"/>
              <w:rPr>
                <w:b/>
              </w:rPr>
            </w:pPr>
            <w:r>
              <w:rPr>
                <w:b/>
              </w:rPr>
              <w:t>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6,913</w:t>
            </w:r>
          </w:p>
        </w:tc>
        <w:tc>
          <w:tcPr>
            <w:tcW w:w="110" w:type="dxa"/>
            <w:tcBorders/>
            <w:shd w:fill="CCEEFF" w:val="clear"/>
            <w:vAlign w:val="center"/>
          </w:tcPr>
          <w:p>
            <w:pPr>
              <w:pStyle w:val="TableContents"/>
              <w:bidi w:val="0"/>
              <w:spacing w:before="0" w:after="283"/>
              <w:jc w:val="left"/>
              <w:rPr/>
            </w:pPr>
            <w:r>
              <w:rPr/>
              <w:t> </w:t>
            </w:r>
            <w:bookmarkStart w:id="270" w:name="xdx_408_eus-gaap--CashCashEquivalentsRes"/>
            <w:bookmarkEnd w:id="270"/>
          </w:p>
        </w:tc>
      </w:tr>
      <w:tr>
        <w:trPr/>
        <w:tc>
          <w:tcPr>
            <w:tcW w:w="8090" w:type="dxa"/>
            <w:tcBorders/>
            <w:shd w:fill="FFFFFF" w:val="clear"/>
            <w:vAlign w:val="center"/>
          </w:tcPr>
          <w:p>
            <w:pPr>
              <w:pStyle w:val="TableContents"/>
              <w:bidi w:val="0"/>
              <w:spacing w:before="0" w:after="283"/>
              <w:jc w:val="left"/>
              <w:rPr>
                <w:b/>
              </w:rPr>
            </w:pPr>
            <w:r>
              <w:rPr>
                <w:b/>
              </w:rPr>
              <w:t>BALANCE OF 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4,632</w:t>
            </w:r>
          </w:p>
        </w:tc>
        <w:tc>
          <w:tcPr>
            <w:tcW w:w="110" w:type="dxa"/>
            <w:tcBorders/>
            <w:shd w:fill="FFFFFF" w:val="clear"/>
            <w:vAlign w:val="center"/>
          </w:tcPr>
          <w:p>
            <w:pPr>
              <w:pStyle w:val="TableContents"/>
              <w:bidi w:val="0"/>
              <w:spacing w:before="0" w:after="283"/>
              <w:jc w:val="left"/>
              <w:rPr/>
            </w:pPr>
            <w:r>
              <w:rPr/>
              <w:t> </w:t>
            </w:r>
            <w:bookmarkStart w:id="271" w:name="xdx_40A_eus-gaap--CashCashEquivalentsRes"/>
            <w:bookmarkEnd w:id="271"/>
          </w:p>
        </w:tc>
      </w:tr>
      <w:tr>
        <w:trPr/>
        <w:tc>
          <w:tcPr>
            <w:tcW w:w="8090" w:type="dxa"/>
            <w:tcBorders/>
            <w:shd w:fill="CCEEFF" w:val="clear"/>
            <w:vAlign w:val="center"/>
          </w:tcPr>
          <w:p>
            <w:pPr>
              <w:pStyle w:val="TableContents"/>
              <w:bidi w:val="0"/>
              <w:spacing w:before="0" w:after="283"/>
              <w:jc w:val="left"/>
              <w:rPr>
                <w:b/>
              </w:rPr>
            </w:pPr>
            <w:r>
              <w:rPr>
                <w:b/>
              </w:rPr>
              <w:t>BALANCE OF 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28,385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11,545</w:t>
            </w:r>
          </w:p>
        </w:tc>
        <w:tc>
          <w:tcPr>
            <w:tcW w:w="110" w:type="dxa"/>
            <w:tcBorders/>
            <w:shd w:fill="CCEEFF" w:val="clear"/>
            <w:vAlign w:val="center"/>
          </w:tcPr>
          <w:p>
            <w:pPr>
              <w:pStyle w:val="TableContents"/>
              <w:bidi w:val="0"/>
              <w:spacing w:before="0" w:after="283"/>
              <w:jc w:val="left"/>
              <w:rPr/>
            </w:pPr>
            <w:r>
              <w:rPr/>
              <w:t> </w:t>
            </w:r>
            <w:bookmarkStart w:id="272" w:name="xdx_403_eus-gaap--NoncashInvestingAndFin"/>
            <w:bookmarkEnd w:id="272"/>
          </w:p>
        </w:tc>
      </w:tr>
      <w:tr>
        <w:trPr/>
        <w:tc>
          <w:tcPr>
            <w:tcW w:w="8090" w:type="dxa"/>
            <w:tcBorders/>
            <w:shd w:fill="FFFFFF" w:val="clear"/>
            <w:vAlign w:val="center"/>
          </w:tcPr>
          <w:p>
            <w:pPr>
              <w:pStyle w:val="TableContents"/>
              <w:bidi w:val="0"/>
              <w:spacing w:before="0" w:after="283"/>
              <w:jc w:val="left"/>
              <w:rPr>
                <w:b/>
              </w:rPr>
            </w:pPr>
            <w:r>
              <w:rPr>
                <w:b/>
              </w:rPr>
              <w:t>SUPPLEMENTAL DISCLOSURE OF NON-CASH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3" w:name="xdx_403_eus-gaap--StockIssued1_i01_zVxLL"/>
            <w:bookmarkEnd w:id="273"/>
          </w:p>
        </w:tc>
      </w:tr>
      <w:tr>
        <w:trPr/>
        <w:tc>
          <w:tcPr>
            <w:tcW w:w="8090" w:type="dxa"/>
            <w:tcBorders/>
            <w:shd w:fill="CCEEFF" w:val="clear"/>
            <w:vAlign w:val="center"/>
          </w:tcPr>
          <w:p>
            <w:pPr>
              <w:pStyle w:val="TableContents"/>
              <w:bidi w:val="0"/>
              <w:spacing w:before="0" w:after="283"/>
              <w:jc w:val="left"/>
              <w:rPr/>
            </w:pPr>
            <w:r>
              <w:rPr/>
              <w:t>Issuance Costs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INSPIREMD, INC.</w:t>
      </w:r>
    </w:p>
    <w:p>
      <w:pPr>
        <w:pStyle w:val="TextBody"/>
        <w:bidi w:val="0"/>
        <w:spacing w:before="0" w:after="0"/>
        <w:jc w:val="center"/>
        <w:rPr>
          <w:rFonts w:ascii="Times New Roman;Times;Serif" w:hAnsi="Times New Roman;Times;Serif"/>
          <w:b w:val="false"/>
          <w:i w:val="false"/>
          <w:caps w:val="false"/>
          <w:smallCaps w:val="false"/>
          <w:sz w:val="20"/>
        </w:rPr>
      </w:pPr>
      <w:bookmarkStart w:id="274" w:name="sk_005"/>
      <w:bookmarkEnd w:id="274"/>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5" w:name="xdx_80A_eus-gaap--NatureOfOperations_zAe"/>
      <w:bookmarkEnd w:id="275"/>
      <w:r>
        <w:rPr>
          <w:rFonts w:ascii="Times New Roman;Times;Serif" w:hAnsi="Times New Roman;Times;Serif"/>
          <w:b/>
          <w:i w:val="false"/>
          <w:caps w:val="false"/>
          <w:smallCaps w:val="false"/>
          <w:sz w:val="20"/>
        </w:rPr>
        <w:t xml:space="preserve">NOTE 1 - </w:t>
      </w:r>
      <w:bookmarkStart w:id="276" w:name="xdx_824_zvcRJl5og59b"/>
      <w:bookmarkEnd w:id="276"/>
      <w:r>
        <w:rPr>
          <w:rFonts w:ascii="Times New Roman;Times;Serif" w:hAnsi="Times New Roman;Times;Serif"/>
          <w:b/>
          <w:i w:val="false"/>
          <w:caps w:val="false"/>
          <w:smallCaps w:val="false"/>
          <w:sz w:val="20"/>
        </w:rPr>
        <w:t>DESCRIPTION OF BUSINESS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InspireMD, Inc., a Delaware corporation (the “Company”), together with its subsidiaries, is a medical device company focusing on the development and commercialization of its proprietary MicroNet™ stent platform technology for the treatment of complex vascular and coronary disease. MicroNet, a micron mesh sleeve, is wrapped over a stent to provide embolic protection in stenting procedures.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carotid product (CGuard™ EPS) combines MicroNet and a self-expandable nitinol stent in a single device to treat carotid artery disease.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markets its products through distributors in international markets, mainly in Europe.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issuance of the condensed consolidated financial statements, the Company has the ability to fund its planned operations for at least the next 12 months. However, the Company expects to continue incurring losses and negative cash flows from operations until its product, CGuard™ EPS, reaches commercial profitability. Therefore, in order to fund the Company’s operations until such time that the Company can generate substantial revenues, the Company may need to raise additional funds.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 against Hamas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a terrorist organization and entered a state of war. In addition, since the commencement of these events, there have been continued hostilities along Israel’s northern border with Lebanon (with the Hezbollah terror organization) and southern border (with the Houthi movement in Yemen) As of the date of these consolidated financial statements, the war in Israel is ongoing and continues to evolve. The Company operations, including its production facility, are located in Israel. Currently, such activities in Israel remain largely unaffected. During the six months ended June 30, 2024, the impact of this war on the Company’s results of operations and financial condition was immaterial, but such impact may increase, which could be material, as a result of the continuation, escalation or expansion of such war.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7" w:name="xdx_808_eus-gaap--BasisOfAccounting_zU22"/>
      <w:bookmarkEnd w:id="277"/>
      <w:r>
        <w:rPr>
          <w:rFonts w:ascii="Times New Roman;Times;Serif" w:hAnsi="Times New Roman;Times;Serif"/>
          <w:b/>
          <w:i w:val="false"/>
          <w:caps w:val="false"/>
          <w:smallCaps w:val="false"/>
          <w:sz w:val="20"/>
        </w:rPr>
        <w:t xml:space="preserve">NOTE 2 - </w:t>
      </w:r>
      <w:bookmarkStart w:id="278" w:name="xdx_820_zbufWWSX3ck8"/>
      <w:bookmarkEnd w:id="278"/>
      <w:r>
        <w:rPr>
          <w:rFonts w:ascii="Times New Roman;Times;Serif" w:hAnsi="Times New Roman;Times;Serif"/>
          <w:b/>
          <w:i w:val="false"/>
          <w:caps w:val="false"/>
          <w:smallCaps w:val="false"/>
          <w:sz w:val="20"/>
        </w:rPr>
        <w:t>BASIS OF PRESENTATION</w:t>
      </w:r>
    </w:p>
    <w:p>
      <w:pPr>
        <w:pStyle w:val="TextBody"/>
        <w:bidi w:val="0"/>
        <w:spacing w:before="0" w:after="0"/>
        <w:ind w:left="144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on the same basis as the annual consolidated financial statements for the year ended December 31, 2023. In the opinion of the company, all adjustments considered necessary for a fair statement of the results of the interim periods reported herein have been included (consisting only of normal recurring adjustments). These condensed consolidated financial statements and notes thereto are unaudited and should be read in conjunction with the Company’s audited financial statements for the year ended December 31, 2023, as found in the Company’s Annual Report on Form 10-K, filed with the Securities and Exchange Commission on March 5, 2024. The results of operations for the three and six months ended June 30, 2024, are not necessarily indicative of results that could be expected for the entire fiscal year.</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9" w:name="xdx_808_eus-gaap--NewAccountingPronounce"/>
      <w:bookmarkEnd w:id="279"/>
      <w:r>
        <w:rPr>
          <w:rFonts w:ascii="Times New Roman;Times;Serif" w:hAnsi="Times New Roman;Times;Serif"/>
          <w:b/>
          <w:i w:val="false"/>
          <w:caps w:val="false"/>
          <w:smallCaps w:val="false"/>
          <w:sz w:val="20"/>
        </w:rPr>
        <w:t xml:space="preserve">NOTE 3 - </w:t>
      </w:r>
      <w:bookmarkStart w:id="280" w:name="xdx_828_zJSXRrWePPk9"/>
      <w:bookmarkEnd w:id="280"/>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Financial Accounting Standards Board (“FASB”) issued Accounting Standards Update (“ASU”) 2020-06 “Debt – Debt with Conversion and Other Options (Subtopic 470-20) and Derivatives and Hedging – Contracts in Entity’s Own Equity (Subtopic 815 – 40).” This guidance simplifies the accounting for certain financial instruments with characteristics of liabilities and equity, including convertible instruments and contracts on an entity’s own equity. This ASU is effective for the Company for fiscal years beginning after December 15, 2023, and interim periods within those fiscal years. The Company adopted the provisions of this update as of January 1, 2024 with no material impact on its condensed consolidated financial statements.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 not yet adopted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Improvements to Reportable Segment Disclosures”. This guidance expands public entities segment disclosures primarily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Public entities with a single reportable segment are required to provide the new disclosures and all the disclosures required under Accounting Standards Codification (“ASC”) 280. The guidance is effective for fiscal years beginning after December 15, 2023, and interim periods within fiscal years beginning after December 15, 2024, with early adoption permitted. The amendments are required to be applied retrospectively to all prior periods presented in an entity’s financial statements. The Company is currently evaluating this guidance to determine the impact it may have on its condensed consolidated financial statements related disclosures.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condensed consolidated financial statements disclosures.</w:t>
            </w:r>
          </w:p>
        </w:tc>
      </w:tr>
    </w:tbl>
    <w:p>
      <w:pPr>
        <w:pStyle w:val="TextBody"/>
        <w:shd w:fill="FFFFFF" w:val="clear"/>
        <w:bidi w:val="0"/>
        <w:spacing w:before="0" w:after="0"/>
        <w:ind w:left="719"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bookmarkStart w:id="281" w:name="xdx_80B_eus-gaap--FairValueDisclosuresTe"/>
      <w:bookmarkEnd w:id="281"/>
      <w:r>
        <w:rPr>
          <w:rFonts w:ascii="Times New Roman;Times;Serif" w:hAnsi="Times New Roman;Times;Serif"/>
          <w:b/>
          <w:i/>
          <w:caps w:val="false"/>
          <w:smallCaps w:val="false"/>
          <w:sz w:val="20"/>
        </w:rPr>
        <w:t xml:space="preserve">NOTE 4 – </w:t>
      </w:r>
      <w:bookmarkStart w:id="282" w:name="xdx_825_zUjLIVeq6nEi"/>
      <w:bookmarkEnd w:id="282"/>
      <w:r>
        <w:rPr>
          <w:rFonts w:ascii="Times New Roman;Times;Serif" w:hAnsi="Times New Roman;Times;Serif"/>
          <w:b/>
          <w:i/>
          <w:caps w:val="false"/>
          <w:smallCaps w:val="false"/>
          <w:sz w:val="20"/>
        </w:rPr>
        <w:t>FAIR VALUE MEASUREMENTS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that are accessible at the measurement date for assets or liabilities. The fair value hierarchy gives the highest priority to Level 1 inputs.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prices that are based on inputs not quoted on active markets but corroborated by market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are used when little or no market data is available. The fair value hierarchy gives the lowest priority to Level 3 inputs.</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bookmarkStart w:id="283" w:name="xdx_89A_eus-gaap--FairValueAssetsMeasure"/>
      <w:bookmarkEnd w:id="283"/>
      <w:r>
        <w:rPr>
          <w:rFonts w:ascii="Times New Roman;Times;Serif" w:hAnsi="Times New Roman;Times;Serif"/>
          <w:b w:val="false"/>
          <w:i w:val="false"/>
          <w:caps w:val="false"/>
          <w:smallCaps w:val="false"/>
          <w:sz w:val="20"/>
        </w:rPr>
        <w:t>The Company’s financial assets subject to fair value measurements on a recurring basis and the level of inputs used in such measurements were as follows:</w:t>
      </w:r>
    </w:p>
    <w:p>
      <w:pPr>
        <w:pStyle w:val="TextBody"/>
        <w:shd w:fill="FFFFFF" w:val="clear"/>
        <w:bidi w:val="0"/>
        <w:spacing w:before="0" w:after="0"/>
        <w:ind w:left="719" w:right="0" w:hanging="0"/>
        <w:jc w:val="left"/>
        <w:rPr>
          <w:caps w:val="false"/>
          <w:smallCaps w:val="false"/>
        </w:rPr>
      </w:pPr>
      <w:r>
        <w:rPr>
          <w:caps w:val="false"/>
          <w:smallCaps w:val="false"/>
        </w:rPr>
        <w:t> </w:t>
      </w:r>
      <w:bookmarkStart w:id="284" w:name="xdx_8B3_zjVyEqKSpovb"/>
      <w:bookmarkEnd w:id="284"/>
      <w:r>
        <w:rPr>
          <w:rFonts w:ascii="Times New Roman;Times;Serif" w:hAnsi="Times New Roman;Times;Serif"/>
          <w:b w:val="false"/>
          <w:i w:val="false"/>
          <w:caps w:val="false"/>
          <w:smallCaps w:val="false"/>
          <w:sz w:val="20"/>
        </w:rPr>
        <w:t>SCHEDULE OF FINANCIAL ASSETS SUBJECT TO FAIR VALUE MEASUREMENTS</w:t>
      </w:r>
    </w:p>
    <w:tbl>
      <w:tblPr>
        <w:tblW w:w="5934" w:type="dxa"/>
        <w:jc w:val="left"/>
        <w:tblInd w:w="0" w:type="dxa"/>
        <w:tblLayout w:type="fixed"/>
        <w:tblCellMar>
          <w:top w:w="0" w:type="dxa"/>
          <w:left w:w="0" w:type="dxa"/>
          <w:bottom w:w="0" w:type="dxa"/>
          <w:right w:w="0" w:type="dxa"/>
        </w:tblCellMar>
      </w:tblPr>
      <w:tblGrid>
        <w:gridCol w:w="2225"/>
        <w:gridCol w:w="60"/>
        <w:gridCol w:w="140"/>
        <w:gridCol w:w="680"/>
        <w:gridCol w:w="60"/>
        <w:gridCol w:w="60"/>
        <w:gridCol w:w="140"/>
        <w:gridCol w:w="680"/>
        <w:gridCol w:w="60"/>
        <w:gridCol w:w="60"/>
        <w:gridCol w:w="140"/>
        <w:gridCol w:w="680"/>
        <w:gridCol w:w="60"/>
        <w:gridCol w:w="60"/>
        <w:gridCol w:w="449"/>
        <w:gridCol w:w="305"/>
        <w:gridCol w:w="7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5" w:name="xdx_490_20240630__us-gaap--FairValueByMe"/>
            <w:bookmarkEnd w:id="285"/>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6" w:name="xdx_49B_20240630__us-gaap--FairValueByMe"/>
            <w:bookmarkEnd w:id="286"/>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7" w:name="xdx_490_20240630__us-gaap--FairValueByMe"/>
            <w:bookmarkEnd w:id="287"/>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8" w:name="xdx_498_20240630__us-gaap--FairValueByMe"/>
            <w:bookmarkEnd w:id="288"/>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7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2024</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89" w:name="xdx_406_eus-gaap--CashAndCashEquivalents"/>
            <w:bookmarkEnd w:id="289"/>
          </w:p>
        </w:tc>
      </w:tr>
      <w:tr>
        <w:trPr/>
        <w:tc>
          <w:tcPr>
            <w:tcW w:w="222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20,340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20,340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90" w:name="xdx_406_eus-gaap--SecuritiesBorrowedFair"/>
            <w:bookmarkEnd w:id="290"/>
          </w:p>
        </w:tc>
      </w:tr>
      <w:tr>
        <w:trPr/>
        <w:tc>
          <w:tcPr>
            <w:tcW w:w="2225" w:type="dxa"/>
            <w:tcBorders/>
            <w:shd w:fill="FFFFFF" w:val="clear"/>
            <w:vAlign w:val="center"/>
          </w:tcPr>
          <w:p>
            <w:pPr>
              <w:pStyle w:val="TableContents"/>
              <w:bidi w:val="0"/>
              <w:spacing w:before="0" w:after="283"/>
              <w:jc w:val="left"/>
              <w:rPr/>
            </w:pPr>
            <w:r>
              <w:rPr/>
              <w:t>U.S government bonds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18,778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18,778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left"/>
        <w:rPr>
          <w:caps w:val="false"/>
          <w:smallCaps w:val="false"/>
        </w:rPr>
      </w:pPr>
      <w:r>
        <w:rPr>
          <w:caps w:val="false"/>
          <w:smallCaps w:val="false"/>
        </w:rPr>
        <w:t> </w:t>
      </w:r>
    </w:p>
    <w:tbl>
      <w:tblPr>
        <w:tblW w:w="5869" w:type="dxa"/>
        <w:jc w:val="left"/>
        <w:tblInd w:w="0" w:type="dxa"/>
        <w:tblLayout w:type="fixed"/>
        <w:tblCellMar>
          <w:top w:w="0" w:type="dxa"/>
          <w:left w:w="0" w:type="dxa"/>
          <w:bottom w:w="0" w:type="dxa"/>
          <w:right w:w="0" w:type="dxa"/>
        </w:tblCellMar>
      </w:tblPr>
      <w:tblGrid>
        <w:gridCol w:w="2225"/>
        <w:gridCol w:w="60"/>
        <w:gridCol w:w="140"/>
        <w:gridCol w:w="680"/>
        <w:gridCol w:w="60"/>
        <w:gridCol w:w="60"/>
        <w:gridCol w:w="151"/>
        <w:gridCol w:w="604"/>
        <w:gridCol w:w="60"/>
        <w:gridCol w:w="60"/>
        <w:gridCol w:w="140"/>
        <w:gridCol w:w="680"/>
        <w:gridCol w:w="60"/>
        <w:gridCol w:w="60"/>
        <w:gridCol w:w="449"/>
        <w:gridCol w:w="305"/>
        <w:gridCol w:w="7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1" w:name="xdx_49A_20231231__us-gaap--FairValueByMe"/>
            <w:bookmarkEnd w:id="291"/>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2" w:name="xdx_499_20231231__us-gaap--FairValueByMe"/>
            <w:bookmarkEnd w:id="292"/>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3" w:name="xdx_498_20231231__us-gaap--FairValueByMe"/>
            <w:bookmarkEnd w:id="293"/>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4" w:name="xdx_491_20231231__us-gaap--FairValueByMe"/>
            <w:bookmarkEnd w:id="294"/>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4"/>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95" w:name="xdx_406_eus-gaap--CashAndCashEquivalents"/>
            <w:bookmarkEnd w:id="295"/>
          </w:p>
        </w:tc>
      </w:tr>
      <w:tr>
        <w:trPr/>
        <w:tc>
          <w:tcPr>
            <w:tcW w:w="2225" w:type="dxa"/>
            <w:tcBorders/>
            <w:shd w:fill="CCEEFF" w:val="clear"/>
            <w:vAlign w:val="center"/>
          </w:tcPr>
          <w:p>
            <w:pPr>
              <w:pStyle w:val="TableContents"/>
              <w:bidi w:val="0"/>
              <w:spacing w:before="0" w:after="283"/>
              <w:jc w:val="left"/>
              <w:rPr/>
            </w:pPr>
            <w:r>
              <w:rPr/>
              <w:t>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96" w:name="xdx_407_eus-gaap--CashAndCashEquivalents"/>
            <w:bookmarkEnd w:id="296"/>
          </w:p>
        </w:tc>
      </w:tr>
      <w:tr>
        <w:trPr/>
        <w:tc>
          <w:tcPr>
            <w:tcW w:w="2225"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7,094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297" w:name="xdx_404_eus-gaap--SecuritiesBorrowedFair"/>
            <w:bookmarkEnd w:id="297"/>
          </w:p>
        </w:tc>
      </w:tr>
      <w:tr>
        <w:trPr/>
        <w:tc>
          <w:tcPr>
            <w:tcW w:w="2225" w:type="dxa"/>
            <w:tcBorders/>
            <w:shd w:fill="CCEEFF" w:val="clear"/>
            <w:vAlign w:val="center"/>
          </w:tcPr>
          <w:p>
            <w:pPr>
              <w:pStyle w:val="TableContents"/>
              <w:bidi w:val="0"/>
              <w:spacing w:before="0" w:after="283"/>
              <w:jc w:val="left"/>
              <w:rPr/>
            </w:pPr>
            <w:r>
              <w:rPr/>
              <w:t>U.S government bonds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98" w:name="xdx_409_eus-gaap--SecuritiesBorrowedFair"/>
            <w:bookmarkEnd w:id="298"/>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left"/>
        <w:rPr>
          <w:caps w:val="false"/>
          <w:smallCaps w:val="false"/>
        </w:rPr>
      </w:pPr>
      <w:bookmarkStart w:id="299" w:name="xdx_8A4_zl1DW64P6tT5"/>
      <w:bookmarkEnd w:id="299"/>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debt securities are classified within Level 2 because it uses quoted market prices or alternative pricing sources and models utilizing market observable inputs to determine their fair value.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marketable securities as of June 30, 2024, is $</w:t>
      </w:r>
      <w:bookmarkStart w:id="300" w:name="xdx_900_eus-gaap--SecuritiesBorrowedFair"/>
      <w:bookmarkEnd w:id="300"/>
      <w:r>
        <w:rPr>
          <w:rFonts w:ascii="Times New Roman;Times;Serif" w:hAnsi="Times New Roman;Times;Serif"/>
          <w:b w:val="false"/>
          <w:i w:val="false"/>
          <w:caps w:val="false"/>
          <w:smallCaps w:val="false"/>
          <w:sz w:val="20"/>
        </w:rPr>
        <w:t>18,137 thousand.</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marketable securities as of December 31, 2023 is $</w:t>
      </w:r>
      <w:bookmarkStart w:id="301" w:name="xdx_905_eus-gaap--SecuritiesBorrowedFair"/>
      <w:bookmarkEnd w:id="301"/>
      <w:r>
        <w:rPr>
          <w:rFonts w:ascii="Times New Roman;Times;Serif" w:hAnsi="Times New Roman;Times;Serif"/>
          <w:b w:val="false"/>
          <w:i w:val="false"/>
          <w:caps w:val="false"/>
          <w:smallCaps w:val="false"/>
          <w:sz w:val="20"/>
        </w:rPr>
        <w:t>28,727 thousand.</w:t>
      </w:r>
    </w:p>
    <w:p>
      <w:pPr>
        <w:pStyle w:val="TextBody"/>
        <w:bidi w:val="0"/>
        <w:spacing w:before="0" w:after="0"/>
        <w:ind w:left="108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02" w:name="xdx_803_eus-gaap--InvestmentsInDebtAndMa"/>
      <w:bookmarkEnd w:id="302"/>
      <w:r>
        <w:rPr>
          <w:rFonts w:ascii="Times New Roman;Times;Serif" w:hAnsi="Times New Roman;Times;Serif"/>
          <w:b/>
          <w:i w:val="false"/>
          <w:caps w:val="false"/>
          <w:smallCaps w:val="false"/>
          <w:sz w:val="20"/>
        </w:rPr>
        <w:t xml:space="preserve">NOTE 5 - </w:t>
      </w:r>
      <w:bookmarkStart w:id="303" w:name="xdx_823_z5du7YgSENTb"/>
      <w:bookmarkEnd w:id="303"/>
      <w:r>
        <w:rPr>
          <w:rFonts w:ascii="Times New Roman;Times;Serif" w:hAnsi="Times New Roman;Times;Serif"/>
          <w:b/>
          <w:i w:val="false"/>
          <w:caps w:val="false"/>
          <w:smallCaps w:val="false"/>
          <w:sz w:val="20"/>
        </w:rPr>
        <w:t>MARKETABLE SECURITIES</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1080" w:right="0" w:hanging="0"/>
        <w:jc w:val="left"/>
        <w:rPr>
          <w:rFonts w:ascii="Times New Roman;Times;Serif" w:hAnsi="Times New Roman;Times;Serif"/>
          <w:b w:val="false"/>
          <w:i w:val="false"/>
          <w:caps w:val="false"/>
          <w:smallCaps w:val="false"/>
          <w:sz w:val="20"/>
        </w:rPr>
      </w:pPr>
      <w:bookmarkStart w:id="304" w:name="xdx_893_eus-gaap--MarketableSecuritiesTe"/>
      <w:bookmarkEnd w:id="304"/>
      <w:r>
        <w:rPr>
          <w:rFonts w:ascii="Times New Roman;Times;Serif" w:hAnsi="Times New Roman;Times;Serif"/>
          <w:b w:val="false"/>
          <w:i w:val="false"/>
          <w:caps w:val="false"/>
          <w:smallCaps w:val="false"/>
          <w:sz w:val="20"/>
        </w:rPr>
        <w:t>The following table sets forth the Company’s marketable securities for the indicated periods:</w:t>
      </w:r>
    </w:p>
    <w:p>
      <w:pPr>
        <w:pStyle w:val="TextBody"/>
        <w:shd w:fill="FFFFFF" w:val="clear"/>
        <w:bidi w:val="0"/>
        <w:spacing w:before="0" w:after="0"/>
        <w:ind w:left="719" w:right="0" w:hanging="0"/>
        <w:jc w:val="left"/>
        <w:rPr>
          <w:caps w:val="false"/>
          <w:smallCaps w:val="false"/>
        </w:rPr>
      </w:pPr>
      <w:r>
        <w:rPr>
          <w:caps w:val="false"/>
          <w:smallCaps w:val="false"/>
        </w:rPr>
        <w:t> </w:t>
      </w:r>
    </w:p>
    <w:p>
      <w:pPr>
        <w:pStyle w:val="TextBody"/>
        <w:shd w:fill="FFFFFF" w:val="clear"/>
        <w:bidi w:val="0"/>
        <w:spacing w:before="0" w:after="0"/>
        <w:ind w:left="719" w:right="0" w:hanging="0"/>
        <w:jc w:val="left"/>
        <w:rPr>
          <w:caps w:val="false"/>
          <w:smallCaps w:val="false"/>
        </w:rPr>
      </w:pPr>
      <w:r>
        <w:rPr>
          <w:caps w:val="false"/>
          <w:smallCaps w:val="false"/>
        </w:rPr>
        <w:t> </w:t>
      </w:r>
      <w:bookmarkStart w:id="305" w:name="xdx_8B6_zChwQZwkQS6i"/>
      <w:bookmarkEnd w:id="305"/>
      <w:r>
        <w:rPr>
          <w:rFonts w:ascii="Times New Roman;Times;Serif" w:hAnsi="Times New Roman;Times;Serif"/>
          <w:b w:val="false"/>
          <w:i w:val="false"/>
          <w:caps w:val="false"/>
          <w:smallCaps w:val="false"/>
          <w:sz w:val="20"/>
        </w:rPr>
        <w:t>SCHEDULE OF MARKETABLE SECURITIES</w:t>
      </w:r>
    </w:p>
    <w:tbl>
      <w:tblPr>
        <w:tblW w:w="4768" w:type="dxa"/>
        <w:jc w:val="left"/>
        <w:tblInd w:w="0" w:type="dxa"/>
        <w:tblLayout w:type="fixed"/>
        <w:tblCellMar>
          <w:top w:w="0" w:type="dxa"/>
          <w:left w:w="0" w:type="dxa"/>
          <w:bottom w:w="0" w:type="dxa"/>
          <w:right w:w="0" w:type="dxa"/>
        </w:tblCellMar>
      </w:tblPr>
      <w:tblGrid>
        <w:gridCol w:w="2225"/>
        <w:gridCol w:w="60"/>
        <w:gridCol w:w="149"/>
        <w:gridCol w:w="725"/>
        <w:gridCol w:w="60"/>
        <w:gridCol w:w="60"/>
        <w:gridCol w:w="241"/>
        <w:gridCol w:w="1173"/>
        <w:gridCol w:w="75"/>
      </w:tblGrid>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6" w:name="xdx_496_20240630_z1lhINK7uZi4"/>
            <w:bookmarkEnd w:id="306"/>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7" w:name="xdx_49B_20231231_zFSIJ9kMkPad"/>
            <w:bookmarkEnd w:id="30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308" w:name="xdx_404_eus-gaap--MarketableSecuritiesCu"/>
            <w:bookmarkEnd w:id="308"/>
          </w:p>
        </w:tc>
      </w:tr>
      <w:tr>
        <w:trPr/>
        <w:tc>
          <w:tcPr>
            <w:tcW w:w="2225" w:type="dxa"/>
            <w:tcBorders/>
            <w:shd w:fill="CCEEFF" w:val="clear"/>
            <w:vAlign w:val="center"/>
          </w:tcPr>
          <w:p>
            <w:pPr>
              <w:pStyle w:val="TableContents"/>
              <w:bidi w:val="0"/>
              <w:spacing w:before="0" w:after="283"/>
              <w:jc w:val="left"/>
              <w:rPr/>
            </w:pPr>
            <w:r>
              <w:rPr/>
              <w:t>U.S government bonds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18,778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29,383</w:t>
            </w:r>
          </w:p>
        </w:tc>
        <w:tc>
          <w:tcPr>
            <w:tcW w:w="75" w:type="dxa"/>
            <w:tcBorders/>
            <w:shd w:fill="CCEEFF" w:val="clear"/>
            <w:vAlign w:val="center"/>
          </w:tcPr>
          <w:p>
            <w:pPr>
              <w:pStyle w:val="TableContents"/>
              <w:bidi w:val="0"/>
              <w:spacing w:before="0" w:after="283"/>
              <w:jc w:val="left"/>
              <w:rPr/>
            </w:pPr>
            <w:r>
              <w:rPr/>
              <w:t> </w:t>
            </w:r>
            <w:bookmarkStart w:id="309" w:name="xdx_400_eus-gaap--MarketableSecuritiesCu"/>
            <w:bookmarkEnd w:id="309"/>
          </w:p>
        </w:tc>
      </w:tr>
      <w:tr>
        <w:trPr/>
        <w:tc>
          <w:tcPr>
            <w:tcW w:w="222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18,778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29,383</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719" w:right="0" w:hanging="0"/>
        <w:jc w:val="left"/>
        <w:rPr>
          <w:caps w:val="false"/>
          <w:smallCaps w:val="false"/>
        </w:rPr>
      </w:pPr>
      <w:bookmarkStart w:id="310" w:name="xdx_8AB_zPZD9SaVGDbk"/>
      <w:bookmarkEnd w:id="310"/>
      <w:r>
        <w:rPr>
          <w:caps w:val="false"/>
          <w:smallCaps w:val="false"/>
        </w:rPr>
        <w:t> </w:t>
      </w:r>
    </w:p>
    <w:p>
      <w:pPr>
        <w:pStyle w:val="TextBody"/>
        <w:shd w:fill="FFFFFF" w:val="clear"/>
        <w:bidi w:val="0"/>
        <w:spacing w:before="0" w:after="0"/>
        <w:ind w:left="719" w:right="0" w:hanging="0"/>
        <w:jc w:val="left"/>
        <w:rPr>
          <w:caps w:val="false"/>
          <w:smallCaps w:val="false"/>
        </w:rPr>
      </w:pPr>
      <w:r>
        <w:rPr>
          <w:caps w:val="false"/>
          <w:smallCaps w:val="false"/>
        </w:rPr>
        <w:t> </w:t>
      </w:r>
    </w:p>
    <w:p>
      <w:pPr>
        <w:pStyle w:val="TextBody"/>
        <w:shd w:fill="FFFFFF" w:val="clear"/>
        <w:bidi w:val="0"/>
        <w:spacing w:before="0" w:after="0"/>
        <w:ind w:left="1080" w:right="0" w:hanging="0"/>
        <w:jc w:val="left"/>
        <w:rPr>
          <w:rFonts w:ascii="Times New Roman;Times;Serif" w:hAnsi="Times New Roman;Times;Serif"/>
          <w:b w:val="false"/>
          <w:i w:val="false"/>
          <w:caps w:val="false"/>
          <w:smallCaps w:val="false"/>
          <w:sz w:val="20"/>
        </w:rPr>
      </w:pPr>
      <w:bookmarkStart w:id="311" w:name="xdx_890_ecustom--FairValueOfMarketableSe"/>
      <w:bookmarkEnd w:id="311"/>
      <w:r>
        <w:rPr>
          <w:rFonts w:ascii="Times New Roman;Times;Serif" w:hAnsi="Times New Roman;Times;Serif"/>
          <w:b w:val="false"/>
          <w:i w:val="false"/>
          <w:caps w:val="false"/>
          <w:smallCaps w:val="false"/>
          <w:sz w:val="20"/>
        </w:rPr>
        <w:t>The following table summarizes the fair value of the Company’s marketable securities classified by maturity as of June 30, 2024, and December 31, 2023:</w:t>
      </w:r>
    </w:p>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shd w:fill="FFFFFF" w:val="clear"/>
        <w:bidi w:val="0"/>
        <w:spacing w:before="0" w:after="0"/>
        <w:ind w:left="719" w:right="0" w:hanging="0"/>
        <w:jc w:val="both"/>
        <w:rPr>
          <w:caps w:val="false"/>
          <w:smallCaps w:val="false"/>
        </w:rPr>
      </w:pPr>
      <w:r>
        <w:rPr>
          <w:caps w:val="false"/>
          <w:smallCaps w:val="false"/>
        </w:rPr>
        <w:t> </w:t>
      </w:r>
      <w:bookmarkStart w:id="312" w:name="xdx_8B5_znKVCLno5Gr"/>
      <w:bookmarkEnd w:id="312"/>
      <w:r>
        <w:rPr>
          <w:rFonts w:ascii="Times New Roman;Times;Serif" w:hAnsi="Times New Roman;Times;Serif"/>
          <w:b w:val="false"/>
          <w:i w:val="false"/>
          <w:caps w:val="false"/>
          <w:smallCaps w:val="false"/>
          <w:sz w:val="20"/>
        </w:rPr>
        <w:t>SCHEDULE OF FAIR VALUE OF MARKETABLE SECURITIES CLASSIFIED BY MATURITY</w:t>
      </w:r>
    </w:p>
    <w:tbl>
      <w:tblPr>
        <w:tblW w:w="6343" w:type="dxa"/>
        <w:jc w:val="left"/>
        <w:tblInd w:w="0" w:type="dxa"/>
        <w:tblLayout w:type="fixed"/>
        <w:tblCellMar>
          <w:top w:w="0" w:type="dxa"/>
          <w:left w:w="0" w:type="dxa"/>
          <w:bottom w:w="0" w:type="dxa"/>
          <w:right w:w="0" w:type="dxa"/>
        </w:tblCellMar>
      </w:tblPr>
      <w:tblGrid>
        <w:gridCol w:w="4190"/>
        <w:gridCol w:w="60"/>
        <w:gridCol w:w="126"/>
        <w:gridCol w:w="598"/>
        <w:gridCol w:w="60"/>
        <w:gridCol w:w="60"/>
        <w:gridCol w:w="204"/>
        <w:gridCol w:w="970"/>
        <w:gridCol w:w="75"/>
      </w:tblGrid>
      <w:tr>
        <w:trPr/>
        <w:tc>
          <w:tcPr>
            <w:tcW w:w="4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13" w:name="xdx_492_20240630_zdnPfuDmRD9"/>
            <w:bookmarkEnd w:id="313"/>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14" w:name="xdx_497_20231231_zZOaJ28Rcuwi"/>
            <w:bookmarkEnd w:id="314"/>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315" w:name="xdx_40B_ecustom--MarketableSecuritiesMat"/>
            <w:bookmarkEnd w:id="315"/>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maturing within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6" w:name="xdx_40E_ecustom--MarketableSecuritiesMat"/>
            <w:bookmarkEnd w:id="316"/>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maturing after one year through two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4,860</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7" w:name="xdx_984_eus-gaap--MarketableSecuritiesCu"/>
            <w:bookmarkEnd w:id="317"/>
          </w:p>
        </w:tc>
        <w:tc>
          <w:tcPr>
            <w:tcW w:w="5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18" w:name="xdx_988_eus-gaap--MarketableSecuritiesCu"/>
            <w:bookmarkEnd w:id="318"/>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719" w:right="0" w:hanging="0"/>
        <w:jc w:val="left"/>
        <w:rPr>
          <w:caps w:val="false"/>
          <w:smallCaps w:val="false"/>
        </w:rPr>
      </w:pPr>
      <w:bookmarkStart w:id="319" w:name="xdx_8A2_z2v9L5G8bZBf"/>
      <w:bookmarkEnd w:id="319"/>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bookmarkStart w:id="320" w:name="xdx_899_ecustom--ScheduleOfChangesInFair"/>
      <w:bookmarkEnd w:id="320"/>
      <w:r>
        <w:rPr>
          <w:rFonts w:ascii="Times New Roman;Times;Serif" w:hAnsi="Times New Roman;Times;Serif"/>
          <w:b w:val="false"/>
          <w:i w:val="false"/>
          <w:caps w:val="false"/>
          <w:smallCaps w:val="false"/>
          <w:sz w:val="20"/>
        </w:rPr>
        <w:t>The table below sets forth a summary of the changes in the fair value of the Company’s marketable securities for the six months period ended June 30, 2024:</w:t>
      </w:r>
    </w:p>
    <w:p>
      <w:pPr>
        <w:pStyle w:val="TextBody"/>
        <w:shd w:fill="FFFFFF" w:val="clear"/>
        <w:bidi w:val="0"/>
        <w:spacing w:before="0" w:after="0"/>
        <w:ind w:left="719" w:right="0" w:hanging="0"/>
        <w:jc w:val="both"/>
        <w:rPr>
          <w:caps w:val="false"/>
          <w:smallCaps w:val="false"/>
        </w:rPr>
      </w:pPr>
      <w:r>
        <w:rPr>
          <w:caps w:val="false"/>
          <w:smallCaps w:val="false"/>
        </w:rPr>
        <w:t> </w:t>
      </w:r>
    </w:p>
    <w:p>
      <w:pPr>
        <w:pStyle w:val="TextBody"/>
        <w:shd w:fill="FFFFFF" w:val="clear"/>
        <w:bidi w:val="0"/>
        <w:spacing w:before="0" w:after="0"/>
        <w:ind w:left="719" w:right="0" w:hanging="0"/>
        <w:jc w:val="both"/>
        <w:rPr>
          <w:caps w:val="false"/>
          <w:smallCaps w:val="false"/>
        </w:rPr>
      </w:pPr>
      <w:r>
        <w:rPr>
          <w:caps w:val="false"/>
          <w:smallCaps w:val="false"/>
        </w:rPr>
        <w:t> </w:t>
      </w:r>
      <w:bookmarkStart w:id="321" w:name="xdx_8B5_zPJYgSoPoSGk"/>
      <w:bookmarkEnd w:id="321"/>
      <w:r>
        <w:rPr>
          <w:rFonts w:ascii="Times New Roman;Times;Serif" w:hAnsi="Times New Roman;Times;Serif"/>
          <w:b w:val="false"/>
          <w:i w:val="false"/>
          <w:caps w:val="false"/>
          <w:smallCaps w:val="false"/>
          <w:sz w:val="20"/>
        </w:rPr>
        <w:t>SCHEDULE OF CHANGES IN FAIR VALUE OF MARKETABLE SECURITIES</w:t>
      </w:r>
    </w:p>
    <w:tbl>
      <w:tblPr>
        <w:tblW w:w="9518" w:type="dxa"/>
        <w:jc w:val="left"/>
        <w:tblInd w:w="0" w:type="dxa"/>
        <w:tblLayout w:type="fixed"/>
        <w:tblCellMar>
          <w:top w:w="0" w:type="dxa"/>
          <w:left w:w="0" w:type="dxa"/>
          <w:bottom w:w="0" w:type="dxa"/>
          <w:right w:w="0" w:type="dxa"/>
        </w:tblCellMar>
      </w:tblPr>
      <w:tblGrid>
        <w:gridCol w:w="3725"/>
        <w:gridCol w:w="60"/>
        <w:gridCol w:w="427"/>
        <w:gridCol w:w="2307"/>
        <w:gridCol w:w="95"/>
        <w:gridCol w:w="60"/>
        <w:gridCol w:w="190"/>
        <w:gridCol w:w="2544"/>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A_20240101__20240630_zA3dDHvJoUF3"/>
            <w:bookmarkEnd w:id="322"/>
          </w:p>
        </w:tc>
        <w:tc>
          <w:tcPr>
            <w:tcW w:w="2734" w:type="dxa"/>
            <w:gridSpan w:val="2"/>
            <w:tcBorders/>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3" w:name="xdx_492_20230101__20230630_z0fUyzB7Mii9"/>
            <w:bookmarkEnd w:id="323"/>
          </w:p>
        </w:tc>
        <w:tc>
          <w:tcPr>
            <w:tcW w:w="2734" w:type="dxa"/>
            <w:gridSpan w:val="2"/>
            <w:tcBorders/>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24" w:name="xdx_40A_eus-gaap--MarketableSecuritiesCu"/>
            <w:bookmarkEnd w:id="324"/>
          </w:p>
        </w:tc>
      </w:tr>
      <w:tr>
        <w:trPr/>
        <w:tc>
          <w:tcPr>
            <w:tcW w:w="3725" w:type="dxa"/>
            <w:tcBorders/>
            <w:shd w:fill="CCEEFF" w:val="clear"/>
            <w:vAlign w:val="center"/>
          </w:tcPr>
          <w:p>
            <w:pPr>
              <w:pStyle w:val="TableContents"/>
              <w:bidi w:val="0"/>
              <w:spacing w:before="0" w:after="283"/>
              <w:jc w:val="left"/>
              <w:rPr/>
            </w:pPr>
            <w:r>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2307" w:type="dxa"/>
            <w:tcBorders/>
            <w:shd w:fill="CCEEFF" w:val="clear"/>
            <w:vAlign w:val="center"/>
          </w:tcPr>
          <w:p>
            <w:pPr>
              <w:pStyle w:val="TableContents"/>
              <w:bidi w:val="0"/>
              <w:spacing w:before="0" w:after="283"/>
              <w:jc w:val="right"/>
              <w:rPr/>
            </w:pPr>
            <w:r>
              <w:rPr/>
              <w:t>29,383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5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25" w:name="xdx_40C_eus-gaap--PaymentsToAcquireMarke"/>
            <w:bookmarkEnd w:id="325"/>
          </w:p>
        </w:tc>
      </w:tr>
      <w:tr>
        <w:trPr/>
        <w:tc>
          <w:tcPr>
            <w:tcW w:w="372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pPr>
            <w:r>
              <w:rPr/>
              <w:t>1,960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44" w:type="dxa"/>
            <w:tcBorders/>
            <w:shd w:fill="FFFFFF" w:val="clear"/>
            <w:vAlign w:val="center"/>
          </w:tcPr>
          <w:p>
            <w:pPr>
              <w:pStyle w:val="TableContents"/>
              <w:bidi w:val="0"/>
              <w:spacing w:before="0" w:after="283"/>
              <w:jc w:val="right"/>
              <w:rPr/>
            </w:pPr>
            <w:r>
              <w:rPr/>
              <w:t>28,838</w:t>
            </w:r>
          </w:p>
        </w:tc>
        <w:tc>
          <w:tcPr>
            <w:tcW w:w="110" w:type="dxa"/>
            <w:tcBorders/>
            <w:shd w:fill="FFFFFF" w:val="clear"/>
            <w:vAlign w:val="center"/>
          </w:tcPr>
          <w:p>
            <w:pPr>
              <w:pStyle w:val="TableContents"/>
              <w:bidi w:val="0"/>
              <w:spacing w:before="0" w:after="283"/>
              <w:jc w:val="left"/>
              <w:rPr/>
            </w:pPr>
            <w:r>
              <w:rPr/>
              <w:t> </w:t>
            </w:r>
            <w:bookmarkStart w:id="326" w:name="xdx_40A_eus-gaap--ProceedsFromSaleAndMat"/>
            <w:bookmarkEnd w:id="326"/>
          </w:p>
        </w:tc>
      </w:tr>
      <w:tr>
        <w:trPr/>
        <w:tc>
          <w:tcPr>
            <w:tcW w:w="3725" w:type="dxa"/>
            <w:tcBorders/>
            <w:shd w:fill="CCEEFF" w:val="clear"/>
            <w:vAlign w:val="center"/>
          </w:tcPr>
          <w:p>
            <w:pPr>
              <w:pStyle w:val="TableContents"/>
              <w:bidi w:val="0"/>
              <w:spacing w:before="0" w:after="283"/>
              <w:jc w:val="left"/>
              <w:rPr/>
            </w:pPr>
            <w:r>
              <w:rPr/>
              <w:t>Maturity</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307" w:type="dxa"/>
            <w:tcBorders/>
            <w:shd w:fill="CCEEFF" w:val="clear"/>
            <w:vAlign w:val="center"/>
          </w:tcPr>
          <w:p>
            <w:pPr>
              <w:pStyle w:val="TableContents"/>
              <w:bidi w:val="0"/>
              <w:spacing w:before="0" w:after="283"/>
              <w:jc w:val="right"/>
              <w:rPr/>
            </w:pPr>
            <w:r>
              <w:rPr/>
              <w:t>(13,000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25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7" w:name="xdx_404_eus-gaap--ProceedsFromInterestRe"/>
            <w:bookmarkEnd w:id="327"/>
          </w:p>
        </w:tc>
      </w:tr>
      <w:tr>
        <w:trPr/>
        <w:tc>
          <w:tcPr>
            <w:tcW w:w="3725"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5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8" w:name="xdx_402_ecustom--ChangesInFairValueMarke"/>
            <w:bookmarkEnd w:id="328"/>
          </w:p>
        </w:tc>
      </w:tr>
      <w:tr>
        <w:trPr/>
        <w:tc>
          <w:tcPr>
            <w:tcW w:w="3725" w:type="dxa"/>
            <w:tcBorders/>
            <w:shd w:fill="CCEEFF" w:val="clear"/>
            <w:vAlign w:val="center"/>
          </w:tcPr>
          <w:p>
            <w:pPr>
              <w:pStyle w:val="TableContents"/>
              <w:bidi w:val="0"/>
              <w:spacing w:before="0" w:after="283"/>
              <w:jc w:val="left"/>
              <w:rPr/>
            </w:pPr>
            <w:r>
              <w:rPr/>
              <w:t>Changes in fair value during the period</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07" w:type="dxa"/>
            <w:tcBorders>
              <w:bottom w:val="single" w:sz="8" w:space="0" w:color="000000"/>
            </w:tcBorders>
            <w:shd w:fill="CCEEFF" w:val="clear"/>
            <w:tcMar>
              <w:bottom w:w="28" w:type="dxa"/>
            </w:tcMar>
            <w:vAlign w:val="center"/>
          </w:tcPr>
          <w:p>
            <w:pPr>
              <w:pStyle w:val="TableContents"/>
              <w:bidi w:val="0"/>
              <w:spacing w:before="0" w:after="283"/>
              <w:jc w:val="right"/>
              <w:rPr/>
            </w:pPr>
            <w:r>
              <w:rPr/>
              <w:t>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4"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bookmarkStart w:id="329" w:name="xdx_402_eus-gaap--MarketableSecuritiesCu"/>
            <w:bookmarkEnd w:id="329"/>
          </w:p>
        </w:tc>
      </w:tr>
      <w:tr>
        <w:trPr/>
        <w:tc>
          <w:tcPr>
            <w:tcW w:w="3725" w:type="dxa"/>
            <w:tcBorders/>
            <w:shd w:fill="FFFFFF" w:val="clear"/>
            <w:vAlign w:val="center"/>
          </w:tcPr>
          <w:p>
            <w:pPr>
              <w:pStyle w:val="TableContents"/>
              <w:bidi w:val="0"/>
              <w:spacing w:before="0" w:after="283"/>
              <w:jc w:val="left"/>
              <w:rPr/>
            </w:pPr>
            <w:r>
              <w:rPr/>
              <w:t>Balance at end of the period</w:t>
            </w:r>
          </w:p>
        </w:tc>
        <w:tc>
          <w:tcPr>
            <w:tcW w:w="60"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07" w:type="dxa"/>
            <w:tcBorders>
              <w:bottom w:val="double" w:sz="6" w:space="0" w:color="000000"/>
            </w:tcBorders>
            <w:shd w:fill="FFFFFF" w:val="clear"/>
            <w:tcMar>
              <w:bottom w:w="28" w:type="dxa"/>
            </w:tcMar>
            <w:vAlign w:val="center"/>
          </w:tcPr>
          <w:p>
            <w:pPr>
              <w:pStyle w:val="TableContents"/>
              <w:bidi w:val="0"/>
              <w:spacing w:before="0" w:after="283"/>
              <w:jc w:val="right"/>
              <w:rPr/>
            </w:pPr>
            <w:r>
              <w:rPr/>
              <w:t>18,778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544"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t>28,817 </w:t>
            </w:r>
          </w:p>
        </w:tc>
        <w:tc>
          <w:tcPr>
            <w:tcW w:w="110" w:type="dxa"/>
            <w:tcBorders/>
            <w:shd w:fill="FFFFFF" w:val="clear"/>
          </w:tcPr>
          <w:p>
            <w:pPr>
              <w:pStyle w:val="TableContents"/>
              <w:bidi w:val="0"/>
              <w:spacing w:before="0" w:after="283"/>
              <w:jc w:val="left"/>
              <w:rPr>
                <w:sz w:val="4"/>
                <w:szCs w:val="4"/>
              </w:rPr>
            </w:pPr>
            <w:r>
              <w:rPr>
                <w:sz w:val="4"/>
                <w:szCs w:val="4"/>
              </w:rPr>
            </w:r>
          </w:p>
        </w:tc>
      </w:tr>
    </w:tbl>
    <w:p>
      <w:pPr>
        <w:pStyle w:val="TextBody"/>
        <w:shd w:fill="FFFFFF" w:val="clear"/>
        <w:bidi w:val="0"/>
        <w:spacing w:before="0" w:after="0"/>
        <w:ind w:left="719" w:right="0" w:hanging="0"/>
        <w:jc w:val="left"/>
        <w:rPr>
          <w:caps w:val="false"/>
          <w:smallCaps w:val="false"/>
        </w:rPr>
      </w:pPr>
      <w:bookmarkStart w:id="330" w:name="xdx_8AE_ziB0QpaLavVc"/>
      <w:bookmarkEnd w:id="330"/>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331" w:name="xdx_800_eus-gaap--StockholdersEquityNote"/>
      <w:bookmarkEnd w:id="331"/>
      <w:r>
        <w:rPr>
          <w:rFonts w:ascii="Times New Roman;Times;Serif" w:hAnsi="Times New Roman;Times;Serif"/>
          <w:b/>
          <w:i w:val="false"/>
          <w:caps w:val="false"/>
          <w:smallCaps w:val="false"/>
          <w:sz w:val="20"/>
        </w:rPr>
        <w:t xml:space="preserve">NOTE 6 - </w:t>
      </w:r>
      <w:bookmarkStart w:id="332" w:name="xdx_822_zAzgzMH8RLea"/>
      <w:bookmarkEnd w:id="332"/>
      <w:r>
        <w:rPr>
          <w:rFonts w:ascii="Times New Roman;Times;Serif" w:hAnsi="Times New Roman;Times;Serif"/>
          <w:b/>
          <w:i w:val="false"/>
          <w:caps w:val="false"/>
          <w:smallCaps w:val="false"/>
          <w:sz w:val="20"/>
        </w:rPr>
        <w:t>EQUITY:</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108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Exercise of Series H Warrant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Series H Warrants have a term of the earlier of (i) </w:t>
      </w:r>
      <w:bookmarkStart w:id="333" w:name="xdx_907_eus-gaap--WarrantsAndRightsOutst"/>
      <w:bookmarkEnd w:id="333"/>
      <w:r>
        <w:rPr>
          <w:rFonts w:ascii="Times New Roman;Times;Serif" w:hAnsi="Times New Roman;Times;Serif"/>
          <w:b w:val="false"/>
          <w:i w:val="false"/>
          <w:caps w:val="false"/>
          <w:smallCaps w:val="false"/>
          <w:sz w:val="20"/>
          <w:shd w:fill="FFFFFF" w:val="clear"/>
        </w:rPr>
        <w:t>five years from the date of issuance and (ii) 20 trading days following the Company’s public release of primary and secondary end points related to one year follow up study results from the Company’s C-GUARDIANS pivotal trial.</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Following the announcement on May 28, 2024 of the one year follow up study results from the Company’s C-GUARDIANS pivotal trial, the Series H warrants for the purchase of </w:t>
      </w:r>
      <w:bookmarkStart w:id="334" w:name="xdx_906_eus-gaap--ClassOfWarrantOrRightN"/>
      <w:bookmarkEnd w:id="334"/>
      <w:r>
        <w:rPr>
          <w:rFonts w:ascii="Times New Roman;Times;Serif" w:hAnsi="Times New Roman;Times;Serif"/>
          <w:b w:val="false"/>
          <w:i w:val="false"/>
          <w:caps w:val="false"/>
          <w:smallCaps w:val="false"/>
          <w:sz w:val="20"/>
          <w:shd w:fill="FFFFFF" w:val="clear"/>
        </w:rPr>
        <w:t xml:space="preserve">12,914,086 shares of common stock were exercised in full into </w:t>
      </w:r>
      <w:bookmarkStart w:id="335" w:name="xdx_906_eus-gaap--StockIssuedDuringPerio"/>
      <w:bookmarkEnd w:id="335"/>
      <w:r>
        <w:rPr>
          <w:rFonts w:ascii="Times New Roman;Times;Serif" w:hAnsi="Times New Roman;Times;Serif"/>
          <w:b w:val="false"/>
          <w:i w:val="false"/>
          <w:caps w:val="false"/>
          <w:smallCaps w:val="false"/>
          <w:sz w:val="20"/>
          <w:shd w:fill="FFFFFF" w:val="clear"/>
        </w:rPr>
        <w:t xml:space="preserve">292,996 shares of common stock and pre-funded warrants exercisable into </w:t>
      </w:r>
      <w:bookmarkStart w:id="336" w:name="xdx_90B_eus-gaap--StockIssuedDuringPerio"/>
      <w:bookmarkEnd w:id="336"/>
      <w:r>
        <w:rPr>
          <w:rFonts w:ascii="Times New Roman;Times;Serif" w:hAnsi="Times New Roman;Times;Serif"/>
          <w:b w:val="false"/>
          <w:i w:val="false"/>
          <w:caps w:val="false"/>
          <w:smallCaps w:val="false"/>
          <w:sz w:val="20"/>
          <w:shd w:fill="FFFFFF" w:val="clear"/>
        </w:rPr>
        <w:t>12,621,090 shares of common stock. The net proceeds to the Company from the exercise of the Series H warrants were $</w:t>
      </w:r>
      <w:bookmarkStart w:id="337" w:name="xdx_90A_eus-gaap--ProceedsFromWarrantExe"/>
      <w:bookmarkEnd w:id="337"/>
      <w:r>
        <w:rPr>
          <w:rFonts w:ascii="Times New Roman;Times;Serif" w:hAnsi="Times New Roman;Times;Serif"/>
          <w:b w:val="false"/>
          <w:i w:val="false"/>
          <w:caps w:val="false"/>
          <w:smallCaps w:val="false"/>
          <w:sz w:val="20"/>
          <w:shd w:fill="FFFFFF" w:val="clear"/>
        </w:rPr>
        <w:t>16.9 million after deduction of placement agent fees of $</w:t>
      </w:r>
      <w:bookmarkStart w:id="338" w:name="xdx_90B_eus-gaap--PaymentsForBrokerageFe"/>
      <w:bookmarkEnd w:id="338"/>
      <w:r>
        <w:rPr>
          <w:rFonts w:ascii="Times New Roman;Times;Serif" w:hAnsi="Times New Roman;Times;Serif"/>
          <w:b w:val="false"/>
          <w:i w:val="false"/>
          <w:caps w:val="false"/>
          <w:smallCaps w:val="false"/>
          <w:sz w:val="20"/>
          <w:shd w:fill="FFFFFF" w:val="clear"/>
        </w:rPr>
        <w:t>1 million. The Series H warrants, each exercisable at $</w:t>
      </w:r>
      <w:bookmarkStart w:id="339" w:name="xdx_90F_eus-gaap--ClassOfWarrantOrRightE"/>
      <w:bookmarkEnd w:id="339"/>
      <w:r>
        <w:rPr>
          <w:rFonts w:ascii="Times New Roman;Times;Serif" w:hAnsi="Times New Roman;Times;Serif"/>
          <w:b w:val="false"/>
          <w:i w:val="false"/>
          <w:caps w:val="false"/>
          <w:smallCaps w:val="false"/>
          <w:sz w:val="20"/>
          <w:shd w:fill="FFFFFF" w:val="clear"/>
        </w:rPr>
        <w:t>1.3827 per share of common stock and $</w:t>
      </w:r>
      <w:bookmarkStart w:id="340" w:name="xdx_90D_eus-gaap--ClassOfWarrantOrRightE"/>
      <w:bookmarkEnd w:id="340"/>
      <w:r>
        <w:rPr>
          <w:rFonts w:ascii="Times New Roman;Times;Serif" w:hAnsi="Times New Roman;Times;Serif"/>
          <w:b w:val="false"/>
          <w:i w:val="false"/>
          <w:caps w:val="false"/>
          <w:smallCaps w:val="false"/>
          <w:sz w:val="20"/>
          <w:shd w:fill="FFFFFF" w:val="clear"/>
        </w:rPr>
        <w:t xml:space="preserve">1.3826 per pre-funded warrant, were issued as part of the private placement financing that the Company consummated on May 15, 2023. </w:t>
      </w:r>
    </w:p>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there are </w:t>
      </w:r>
      <w:bookmarkStart w:id="341" w:name="xdx_908_eus-gaap--ClassOfWarrantOrRightO"/>
      <w:bookmarkEnd w:id="341"/>
      <w:r>
        <w:rPr>
          <w:rFonts w:ascii="Times New Roman;Times;Serif" w:hAnsi="Times New Roman;Times;Serif"/>
          <w:b w:val="false"/>
          <w:i w:val="false"/>
          <w:caps w:val="false"/>
          <w:smallCaps w:val="false"/>
          <w:sz w:val="20"/>
        </w:rPr>
        <w:t>26,347,323 outstanding pre-funded warrants.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there were </w:t>
      </w:r>
      <w:bookmarkStart w:id="342" w:name="xdx_900_eus-gaap--PreferredStockSharesOu"/>
      <w:bookmarkEnd w:id="342"/>
      <w:r>
        <w:rPr>
          <w:rFonts w:ascii="Times New Roman;Times;Serif" w:hAnsi="Times New Roman;Times;Serif"/>
          <w:b w:val="false"/>
          <w:i w:val="false"/>
          <w:caps w:val="false"/>
          <w:smallCaps w:val="false"/>
          <w:sz w:val="20"/>
        </w:rPr>
        <w:t xml:space="preserve">1,718 shares of Series C Preferred Stock outstanding, convertible into an aggregate of </w:t>
      </w:r>
      <w:bookmarkStart w:id="343" w:name="xdx_907_eus-gaap--PreferredStockConverti"/>
      <w:bookmarkEnd w:id="343"/>
      <w:r>
        <w:rPr>
          <w:rFonts w:ascii="Times New Roman;Times;Serif" w:hAnsi="Times New Roman;Times;Serif"/>
          <w:b w:val="false"/>
          <w:i w:val="false"/>
          <w:caps w:val="false"/>
          <w:smallCaps w:val="false"/>
          <w:sz w:val="20"/>
        </w:rPr>
        <w:t>7,952 shares of the company’s common stock with a total stated value of $</w:t>
      </w:r>
      <w:bookmarkStart w:id="344" w:name="xdx_907_eus-gaap--PreferredStockValue_iI"/>
      <w:bookmarkEnd w:id="344"/>
      <w:r>
        <w:rPr>
          <w:rFonts w:ascii="Times New Roman;Times;Serif" w:hAnsi="Times New Roman;Times;Serif"/>
          <w:b w:val="false"/>
          <w:i w:val="false"/>
          <w:caps w:val="false"/>
          <w:smallCaps w:val="false"/>
          <w:sz w:val="20"/>
        </w:rPr>
        <w:t>10,997.</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the Company has outstanding warrants to purchase an aggregate of </w:t>
      </w:r>
      <w:bookmarkStart w:id="345" w:name="xdx_902_eus-gaap--ClassOfWarrantOrRightN"/>
      <w:bookmarkEnd w:id="345"/>
      <w:r>
        <w:rPr>
          <w:rFonts w:ascii="Times New Roman;Times;Serif" w:hAnsi="Times New Roman;Times;Serif"/>
          <w:b w:val="false"/>
          <w:i w:val="false"/>
          <w:caps w:val="false"/>
          <w:smallCaps w:val="false"/>
          <w:sz w:val="20"/>
        </w:rPr>
        <w:t>40,479,588 shares of common stock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bookmarkStart w:id="346" w:name="xdx_894_eus-gaap--ScheduleOfStockholders"/>
      <w:bookmarkEnd w:id="346"/>
      <w:r>
        <w:rPr>
          <w:caps w:val="false"/>
          <w:smallCaps w:val="false"/>
        </w:rPr>
        <w:t> </w:t>
      </w:r>
      <w:bookmarkStart w:id="347" w:name="xdx_8BC_zLPxkkX7yL4h"/>
      <w:bookmarkEnd w:id="347"/>
      <w:r>
        <w:rPr>
          <w:rFonts w:ascii="Times New Roman;Times;Serif" w:hAnsi="Times New Roman;Times;Serif"/>
          <w:b w:val="false"/>
          <w:i w:val="false"/>
          <w:caps w:val="false"/>
          <w:smallCaps w:val="false"/>
          <w:sz w:val="20"/>
        </w:rPr>
        <w:t>SCHEDULE OF ISSUANCE OF WARRANTS TO PURCHASE COMMON STOCK</w:t>
      </w:r>
    </w:p>
    <w:tbl>
      <w:tblPr>
        <w:tblW w:w="8208" w:type="dxa"/>
        <w:jc w:val="left"/>
        <w:tblInd w:w="0" w:type="dxa"/>
        <w:tblLayout w:type="fixed"/>
        <w:tblCellMar>
          <w:top w:w="0" w:type="dxa"/>
          <w:left w:w="0" w:type="dxa"/>
          <w:bottom w:w="0" w:type="dxa"/>
          <w:right w:w="0" w:type="dxa"/>
        </w:tblCellMar>
      </w:tblPr>
      <w:tblGrid>
        <w:gridCol w:w="2105"/>
        <w:gridCol w:w="60"/>
        <w:gridCol w:w="75"/>
        <w:gridCol w:w="1384"/>
        <w:gridCol w:w="60"/>
        <w:gridCol w:w="60"/>
        <w:gridCol w:w="230"/>
        <w:gridCol w:w="1124"/>
        <w:gridCol w:w="60"/>
        <w:gridCol w:w="2975"/>
        <w:gridCol w:w="75"/>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pPr>
            <w:r>
              <w:rPr/>
              <w:t>Number of</w:t>
              <w:br/>
              <w:t>underlying</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Exercise price</w:t>
            </w:r>
          </w:p>
        </w:tc>
        <w:tc>
          <w:tcPr>
            <w:tcW w:w="60" w:type="dxa"/>
            <w:tcBorders/>
            <w:vAlign w:val="center"/>
          </w:tcPr>
          <w:p>
            <w:pPr>
              <w:pStyle w:val="TableContents"/>
              <w:bidi w:val="0"/>
              <w:spacing w:before="0" w:after="283"/>
              <w:jc w:val="left"/>
              <w:rPr/>
            </w:pPr>
            <w:r>
              <w:rPr/>
              <w:t> </w:t>
            </w:r>
          </w:p>
        </w:tc>
        <w:tc>
          <w:tcPr>
            <w:tcW w:w="2975" w:type="dxa"/>
            <w:tcBorders>
              <w:bottom w:val="single" w:sz="12" w:space="0" w:color="000000"/>
            </w:tcBorders>
            <w:tcMar>
              <w:bottom w:w="28" w:type="dxa"/>
            </w:tcMar>
            <w:vAlign w:val="center"/>
          </w:tcPr>
          <w:p>
            <w:pPr>
              <w:pStyle w:val="TableContents"/>
              <w:bidi w:val="0"/>
              <w:spacing w:before="0" w:after="283"/>
              <w:jc w:val="center"/>
              <w:rPr/>
            </w:pPr>
            <w:r>
              <w:rPr/>
              <w:t> </w:t>
            </w:r>
            <w:r>
              <w:rPr/>
              <w:t>Expiration date</w:t>
            </w:r>
          </w:p>
        </w:tc>
        <w:tc>
          <w:tcPr>
            <w:tcW w:w="7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both"/>
              <w:rPr/>
            </w:pPr>
            <w:r>
              <w:rPr/>
              <w:t>Series E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48" w:name="xdx_980_eus-gaap--ClassOfWarrantOrRightN"/>
            <w:bookmarkEnd w:id="348"/>
          </w:p>
        </w:tc>
        <w:tc>
          <w:tcPr>
            <w:tcW w:w="1384" w:type="dxa"/>
            <w:tcBorders/>
            <w:shd w:fill="CCEEFF" w:val="clear"/>
            <w:vAlign w:val="center"/>
          </w:tcPr>
          <w:p>
            <w:pPr>
              <w:pStyle w:val="TableContents"/>
              <w:bidi w:val="0"/>
              <w:spacing w:before="0" w:after="283"/>
              <w:jc w:val="right"/>
              <w:rPr/>
            </w:pPr>
            <w:r>
              <w:rPr/>
              <w:t>198,159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bookmarkStart w:id="349" w:name="xdx_984_eus-gaap--ClassOfWarrantOrRightE"/>
            <w:bookmarkEnd w:id="349"/>
          </w:p>
        </w:tc>
        <w:tc>
          <w:tcPr>
            <w:tcW w:w="1124" w:type="dxa"/>
            <w:tcBorders/>
            <w:shd w:fill="CCEEFF" w:val="clear"/>
            <w:vAlign w:val="center"/>
          </w:tcPr>
          <w:p>
            <w:pPr>
              <w:pStyle w:val="TableContents"/>
              <w:bidi w:val="0"/>
              <w:spacing w:before="0" w:after="283"/>
              <w:jc w:val="right"/>
              <w:rPr/>
            </w:pPr>
            <w:r>
              <w:rPr/>
              <w:t>27.000</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center"/>
              <w:rPr/>
            </w:pPr>
            <w:bookmarkStart w:id="350" w:name="xdx_90E_eus-gaap--ClassOfWarrantOrRighst"/>
            <w:bookmarkEnd w:id="350"/>
            <w:r>
              <w:rPr/>
              <w:t>September 24, 2024</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both"/>
              <w:rPr/>
            </w:pPr>
            <w:r>
              <w:rPr/>
              <w:t>Series F Warrants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351" w:name="xdx_981_eus-gaap--ClassOfWarrantOrRightN"/>
            <w:bookmarkEnd w:id="351"/>
          </w:p>
        </w:tc>
        <w:tc>
          <w:tcPr>
            <w:tcW w:w="1384" w:type="dxa"/>
            <w:tcBorders/>
            <w:shd w:fill="FFFFFF" w:val="clear"/>
            <w:vAlign w:val="center"/>
          </w:tcPr>
          <w:p>
            <w:pPr>
              <w:pStyle w:val="TableContents"/>
              <w:bidi w:val="0"/>
              <w:spacing w:before="0" w:after="283"/>
              <w:jc w:val="right"/>
              <w:rPr/>
            </w:pPr>
            <w:r>
              <w:rPr/>
              <w:t>433,878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bookmarkStart w:id="352" w:name="xdx_986_eus-gaap--ClassOfWarrantOrRightE"/>
            <w:bookmarkEnd w:id="352"/>
          </w:p>
        </w:tc>
        <w:tc>
          <w:tcPr>
            <w:tcW w:w="1124" w:type="dxa"/>
            <w:tcBorders/>
            <w:shd w:fill="FFFFFF" w:val="clear"/>
            <w:vAlign w:val="center"/>
          </w:tcPr>
          <w:p>
            <w:pPr>
              <w:pStyle w:val="TableContents"/>
              <w:bidi w:val="0"/>
              <w:spacing w:before="0" w:after="283"/>
              <w:jc w:val="right"/>
              <w:rPr/>
            </w:pPr>
            <w:r>
              <w:rPr/>
              <w:t>7.4250</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center"/>
              <w:rPr/>
            </w:pPr>
            <w:bookmarkStart w:id="353" w:name="xdx_900_ecustom--ClassOfWarrantOrRighstD"/>
            <w:bookmarkEnd w:id="353"/>
            <w:r>
              <w:rPr/>
              <w:t>June 5, 2025-October 16, 2025</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both"/>
              <w:rPr/>
            </w:pPr>
            <w:r>
              <w:rPr/>
              <w:t>Series G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54" w:name="xdx_98F_eus-gaap--ClassOfWarrantOrRightN"/>
            <w:bookmarkEnd w:id="354"/>
          </w:p>
        </w:tc>
        <w:tc>
          <w:tcPr>
            <w:tcW w:w="1384" w:type="dxa"/>
            <w:tcBorders/>
            <w:shd w:fill="CCEEFF" w:val="clear"/>
            <w:vAlign w:val="center"/>
          </w:tcPr>
          <w:p>
            <w:pPr>
              <w:pStyle w:val="TableContents"/>
              <w:bidi w:val="0"/>
              <w:spacing w:before="0" w:after="283"/>
              <w:jc w:val="right"/>
              <w:rPr/>
            </w:pPr>
            <w:r>
              <w:rPr/>
              <w:t>1,092,344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bookmarkStart w:id="355" w:name="xdx_98D_eus-gaap--ClassOfWarrantOrRightE"/>
            <w:bookmarkEnd w:id="355"/>
          </w:p>
        </w:tc>
        <w:tc>
          <w:tcPr>
            <w:tcW w:w="1124" w:type="dxa"/>
            <w:tcBorders/>
            <w:shd w:fill="CCEEFF" w:val="clear"/>
            <w:vAlign w:val="center"/>
          </w:tcPr>
          <w:p>
            <w:pPr>
              <w:pStyle w:val="TableContents"/>
              <w:bidi w:val="0"/>
              <w:spacing w:before="0" w:after="283"/>
              <w:jc w:val="right"/>
              <w:rPr/>
            </w:pPr>
            <w:r>
              <w:rPr/>
              <w:t>10.230</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center"/>
              <w:rPr/>
            </w:pPr>
            <w:bookmarkStart w:id="356" w:name="xdx_906_eus-gaap--ClassOfWarrantOrRighst"/>
            <w:bookmarkEnd w:id="356"/>
            <w:r>
              <w:rPr/>
              <w:t>February 8, 2026</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both"/>
              <w:rPr/>
            </w:pPr>
            <w:r>
              <w:rPr/>
              <w:t>Series I Warrants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357" w:name="xdx_982_eus-gaap--ClassOfWarrantOrRightN"/>
            <w:bookmarkEnd w:id="357"/>
          </w:p>
        </w:tc>
        <w:tc>
          <w:tcPr>
            <w:tcW w:w="1384" w:type="dxa"/>
            <w:tcBorders/>
            <w:shd w:fill="FFFFFF" w:val="clear"/>
            <w:vAlign w:val="center"/>
          </w:tcPr>
          <w:p>
            <w:pPr>
              <w:pStyle w:val="TableContents"/>
              <w:bidi w:val="0"/>
              <w:spacing w:before="0" w:after="283"/>
              <w:jc w:val="right"/>
              <w:rPr/>
            </w:pPr>
            <w:r>
              <w:rPr/>
              <w:t>12,914,078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bookmarkStart w:id="358" w:name="xdx_986_eus-gaap--ClassOfWarrantOrRightE"/>
            <w:bookmarkEnd w:id="358"/>
          </w:p>
        </w:tc>
        <w:tc>
          <w:tcPr>
            <w:tcW w:w="1124" w:type="dxa"/>
            <w:tcBorders/>
            <w:shd w:fill="FFFFFF" w:val="clear"/>
            <w:vAlign w:val="center"/>
          </w:tcPr>
          <w:p>
            <w:pPr>
              <w:pStyle w:val="TableContents"/>
              <w:bidi w:val="0"/>
              <w:spacing w:before="0" w:after="283"/>
              <w:jc w:val="right"/>
              <w:rPr/>
            </w:pPr>
            <w:r>
              <w:rPr/>
              <w:t>1.3827</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center"/>
              <w:rPr/>
            </w:pPr>
            <w:bookmarkStart w:id="359" w:name="xdx_907_ecustom--ClassOfWarrantOrRighstD"/>
            <w:bookmarkEnd w:id="359"/>
            <w:r>
              <w:rPr>
                <w:rFonts w:ascii="Times New Roman;Times;Serif" w:hAnsi="Times New Roman;Times;Serif"/>
                <w:sz w:val="20"/>
              </w:rPr>
              <w:t>-</w:t>
            </w:r>
            <w:r>
              <w:rPr/>
              <w:t>*</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both"/>
              <w:rPr/>
            </w:pPr>
            <w:r>
              <w:rPr/>
              <w:t>Series J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60" w:name="xdx_987_eus-gaap--ClassOfWarrantOrRightN"/>
            <w:bookmarkEnd w:id="360"/>
          </w:p>
        </w:tc>
        <w:tc>
          <w:tcPr>
            <w:tcW w:w="1384" w:type="dxa"/>
            <w:tcBorders/>
            <w:shd w:fill="CCEEFF" w:val="clear"/>
            <w:vAlign w:val="center"/>
          </w:tcPr>
          <w:p>
            <w:pPr>
              <w:pStyle w:val="TableContents"/>
              <w:bidi w:val="0"/>
              <w:spacing w:before="0" w:after="283"/>
              <w:jc w:val="right"/>
              <w:rPr/>
            </w:pPr>
            <w:r>
              <w:rPr/>
              <w:t>12,914,086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bookmarkStart w:id="361" w:name="xdx_983_eus-gaap--ClassOfWarrantOrRightE"/>
            <w:bookmarkEnd w:id="361"/>
          </w:p>
        </w:tc>
        <w:tc>
          <w:tcPr>
            <w:tcW w:w="1124" w:type="dxa"/>
            <w:tcBorders/>
            <w:shd w:fill="CCEEFF" w:val="clear"/>
            <w:vAlign w:val="center"/>
          </w:tcPr>
          <w:p>
            <w:pPr>
              <w:pStyle w:val="TableContents"/>
              <w:bidi w:val="0"/>
              <w:spacing w:before="0" w:after="283"/>
              <w:jc w:val="right"/>
              <w:rPr/>
            </w:pPr>
            <w:r>
              <w:rPr/>
              <w:t>1.3827</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center"/>
              <w:rPr/>
            </w:pPr>
            <w:bookmarkStart w:id="362" w:name="xdx_906_ecustom--ClassOfWarrantOrRighstD"/>
            <w:bookmarkEnd w:id="362"/>
            <w:r>
              <w:rPr>
                <w:rFonts w:ascii="Times New Roman;Times;Serif" w:hAnsi="Times New Roman;Times;Serif"/>
                <w:sz w:val="20"/>
              </w:rPr>
              <w:t>-</w:t>
            </w:r>
            <w:r>
              <w:rPr/>
              <w:t>*</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both"/>
              <w:rPr/>
            </w:pPr>
            <w:r>
              <w:rPr/>
              <w:t>Series K Warrants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363" w:name="xdx_984_eus-gaap--ClassOfWarrantOrRightN"/>
            <w:bookmarkEnd w:id="363"/>
          </w:p>
        </w:tc>
        <w:tc>
          <w:tcPr>
            <w:tcW w:w="1384" w:type="dxa"/>
            <w:tcBorders/>
            <w:shd w:fill="FFFFFF" w:val="clear"/>
            <w:vAlign w:val="center"/>
          </w:tcPr>
          <w:p>
            <w:pPr>
              <w:pStyle w:val="TableContents"/>
              <w:bidi w:val="0"/>
              <w:spacing w:before="0" w:after="283"/>
              <w:jc w:val="right"/>
              <w:rPr/>
            </w:pPr>
            <w:r>
              <w:rPr/>
              <w:t>12,914,078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bookmarkStart w:id="364" w:name="xdx_983_eus-gaap--ClassOfWarrantOrRightE"/>
            <w:bookmarkEnd w:id="364"/>
          </w:p>
        </w:tc>
        <w:tc>
          <w:tcPr>
            <w:tcW w:w="1124" w:type="dxa"/>
            <w:tcBorders/>
            <w:shd w:fill="FFFFFF" w:val="clear"/>
            <w:vAlign w:val="center"/>
          </w:tcPr>
          <w:p>
            <w:pPr>
              <w:pStyle w:val="TableContents"/>
              <w:bidi w:val="0"/>
              <w:spacing w:before="0" w:after="283"/>
              <w:jc w:val="right"/>
              <w:rPr/>
            </w:pPr>
            <w:r>
              <w:rPr/>
              <w:t>1.3827</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center"/>
              <w:rPr/>
            </w:pPr>
            <w:bookmarkStart w:id="365" w:name="xdx_90A_ecustom--ClassOfWarrantOrRighstD"/>
            <w:bookmarkEnd w:id="365"/>
            <w:r>
              <w:rPr>
                <w:rFonts w:ascii="Times New Roman;Times;Serif" w:hAnsi="Times New Roman;Times;Serif"/>
                <w:sz w:val="20"/>
              </w:rPr>
              <w:t>-</w:t>
            </w:r>
            <w:r>
              <w:rPr/>
              <w:t>*</w:t>
            </w:r>
          </w:p>
        </w:tc>
        <w:tc>
          <w:tcPr>
            <w:tcW w:w="75"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both"/>
              <w:rPr/>
            </w:pPr>
            <w:r>
              <w:rPr/>
              <w:t>Underwriter Warrants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366" w:name="xdx_98D_eus-gaap--ClassOfWarrantOrRightN"/>
            <w:bookmarkEnd w:id="366"/>
          </w:p>
        </w:tc>
        <w:tc>
          <w:tcPr>
            <w:tcW w:w="1384" w:type="dxa"/>
            <w:tcBorders/>
            <w:shd w:fill="CCEEFF" w:val="clear"/>
            <w:vAlign w:val="center"/>
          </w:tcPr>
          <w:p>
            <w:pPr>
              <w:pStyle w:val="TableContents"/>
              <w:bidi w:val="0"/>
              <w:spacing w:before="0" w:after="283"/>
              <w:jc w:val="right"/>
              <w:rPr/>
            </w:pPr>
            <w:r>
              <w:rPr/>
              <w:t>12,965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bookmarkStart w:id="367" w:name="xdx_988_eus-gaap--ClassOfWarrantOrRightE"/>
            <w:bookmarkEnd w:id="367"/>
          </w:p>
        </w:tc>
        <w:tc>
          <w:tcPr>
            <w:tcW w:w="1124" w:type="dxa"/>
            <w:tcBorders/>
            <w:shd w:fill="CCEEFF" w:val="clear"/>
            <w:vAlign w:val="center"/>
          </w:tcPr>
          <w:p>
            <w:pPr>
              <w:pStyle w:val="TableContents"/>
              <w:bidi w:val="0"/>
              <w:spacing w:before="0" w:after="283"/>
              <w:jc w:val="right"/>
              <w:rPr/>
            </w:pPr>
            <w:r>
              <w:rPr/>
              <w:t>7.4250</w:t>
            </w:r>
          </w:p>
        </w:tc>
        <w:tc>
          <w:tcPr>
            <w:tcW w:w="60" w:type="dxa"/>
            <w:tcBorders/>
            <w:shd w:fill="CCEEFF" w:val="clear"/>
            <w:vAlign w:val="center"/>
          </w:tcPr>
          <w:p>
            <w:pPr>
              <w:pStyle w:val="TableContents"/>
              <w:bidi w:val="0"/>
              <w:spacing w:before="0" w:after="283"/>
              <w:jc w:val="left"/>
              <w:rPr/>
            </w:pPr>
            <w:r>
              <w:rPr/>
              <w:t> </w:t>
            </w:r>
          </w:p>
        </w:tc>
        <w:tc>
          <w:tcPr>
            <w:tcW w:w="2975" w:type="dxa"/>
            <w:tcBorders/>
            <w:shd w:fill="CCEEFF" w:val="clear"/>
            <w:vAlign w:val="center"/>
          </w:tcPr>
          <w:p>
            <w:pPr>
              <w:pStyle w:val="TableContents"/>
              <w:bidi w:val="0"/>
              <w:spacing w:before="0" w:after="283"/>
              <w:jc w:val="center"/>
              <w:rPr/>
            </w:pPr>
            <w:bookmarkStart w:id="368" w:name="xdx_901_eus-gaap--ClassOfWarrantOrRighst"/>
            <w:bookmarkEnd w:id="368"/>
            <w:r>
              <w:rPr/>
              <w:t>September 24, 2024</w:t>
            </w:r>
          </w:p>
        </w:tc>
        <w:tc>
          <w:tcPr>
            <w:tcW w:w="75"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both"/>
              <w:rPr/>
            </w:pPr>
            <w:r>
              <w:rPr/>
              <w:t>Total Warrants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369" w:name="xdx_988_eus-gaap--ClassOfWarrantOrRightN"/>
            <w:bookmarkEnd w:id="369"/>
          </w:p>
        </w:tc>
        <w:tc>
          <w:tcPr>
            <w:tcW w:w="1384" w:type="dxa"/>
            <w:tcBorders/>
            <w:shd w:fill="FFFFFF" w:val="clear"/>
            <w:vAlign w:val="center"/>
          </w:tcPr>
          <w:p>
            <w:pPr>
              <w:pStyle w:val="TableContents"/>
              <w:bidi w:val="0"/>
              <w:spacing w:before="0" w:after="283"/>
              <w:jc w:val="right"/>
              <w:rPr/>
            </w:pPr>
            <w:r>
              <w:rPr/>
              <w:t>40,479,588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11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9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70"/>
        <w:gridCol w:w="991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70" w:name="xdx_F0E_zmqiR9V1ejIk"/>
            <w:bookmarkEnd w:id="370"/>
            <w:r>
              <w:rPr>
                <w:rFonts w:ascii="Times New Roman;Times;Serif" w:hAnsi="Times New Roman;Times;Serif"/>
                <w:b w:val="false"/>
                <w:i w:val="false"/>
                <w:caps w:val="false"/>
                <w:smallCaps w:val="false"/>
                <w:sz w:val="20"/>
              </w:rPr>
              <w:t>*</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71" w:name="xdx_F14_zymIyiMBSso5"/>
            <w:bookmarkEnd w:id="371"/>
            <w:r>
              <w:rPr>
                <w:rFonts w:ascii="Times New Roman;Times;Serif" w:hAnsi="Times New Roman;Times;Serif"/>
                <w:b w:val="false"/>
                <w:i w:val="false"/>
                <w:caps w:val="false"/>
                <w:smallCaps w:val="false"/>
                <w:sz w:val="20"/>
              </w:rPr>
              <w:t>The Warrants have a term of the earlier of (i) May 15, 2025 and (ii) (A) in the case of the Series I Warrants, 20 trading days following the Company’s announcement of receipt of Premarket Approval from the Food and Drug Administration (“FDA”) for the CGuard Prime Carotid Stent System (135 cm), (B) in the case of the Series J Warrants, 20 trading days following the Company’s announcement of receipt of FDA approval for the SwitchGuard and CGuard Prime 80 and (C) in the case on the Series K Warrants, 20 trading days following the end of the fourth fiscal quarter after the fiscal quarter in which the first commercial sales of the CGuard Carotid Stent System in the United States begins.</w:t>
            </w:r>
          </w:p>
        </w:tc>
      </w:tr>
    </w:tbl>
    <w:p>
      <w:pPr>
        <w:pStyle w:val="TextBody"/>
        <w:shd w:fill="FFFFFF" w:val="clear"/>
        <w:bidi w:val="0"/>
        <w:spacing w:before="0" w:after="0"/>
        <w:ind w:left="1080" w:right="0" w:hanging="0"/>
        <w:jc w:val="both"/>
        <w:rPr>
          <w:caps w:val="false"/>
          <w:smallCaps w:val="false"/>
        </w:rPr>
      </w:pPr>
      <w:bookmarkStart w:id="372" w:name="xdx_8AF_zhAToH0zR098"/>
      <w:bookmarkEnd w:id="372"/>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the Company had </w:t>
      </w:r>
      <w:bookmarkStart w:id="373" w:name="xdx_908_eus-gaap--CapitalUnitsAuthorized"/>
      <w:bookmarkEnd w:id="373"/>
      <w:r>
        <w:rPr>
          <w:rFonts w:ascii="Times New Roman;Times;Serif" w:hAnsi="Times New Roman;Times;Serif"/>
          <w:b w:val="false"/>
          <w:i w:val="false"/>
          <w:caps w:val="false"/>
          <w:smallCaps w:val="false"/>
          <w:sz w:val="20"/>
        </w:rPr>
        <w:t>155,000,000 authorized shares of capital stock, par value $</w:t>
      </w:r>
      <w:bookmarkStart w:id="374" w:name="xdx_906_ecustom--CapitalStockParOrStated"/>
      <w:bookmarkEnd w:id="374"/>
      <w:r>
        <w:rPr>
          <w:rFonts w:ascii="Times New Roman;Times;Serif" w:hAnsi="Times New Roman;Times;Serif"/>
          <w:b w:val="false"/>
          <w:i w:val="false"/>
          <w:caps w:val="false"/>
          <w:smallCaps w:val="false"/>
          <w:sz w:val="20"/>
        </w:rPr>
        <w:t xml:space="preserve">0.0001 per share, of which </w:t>
      </w:r>
      <w:bookmarkStart w:id="375" w:name="xdx_900_eus-gaap--CommonStockSharesAutho"/>
      <w:bookmarkEnd w:id="375"/>
      <w:r>
        <w:rPr>
          <w:rFonts w:ascii="Times New Roman;Times;Serif" w:hAnsi="Times New Roman;Times;Serif"/>
          <w:b w:val="false"/>
          <w:i w:val="false"/>
          <w:caps w:val="false"/>
          <w:smallCaps w:val="false"/>
          <w:sz w:val="20"/>
        </w:rPr>
        <w:t xml:space="preserve">150,000,000 are shares of common stock and </w:t>
      </w:r>
      <w:bookmarkStart w:id="376" w:name="xdx_901_eus-gaap--PreferredStockSharesAu"/>
      <w:bookmarkEnd w:id="376"/>
      <w:r>
        <w:rPr>
          <w:rFonts w:ascii="Times New Roman;Times;Serif" w:hAnsi="Times New Roman;Times;Serif"/>
          <w:b w:val="false"/>
          <w:i w:val="false"/>
          <w:caps w:val="false"/>
          <w:smallCaps w:val="false"/>
          <w:sz w:val="20"/>
        </w:rPr>
        <w:t>5,000,000 are shares of “blank check” preferred stock.</w:t>
      </w:r>
    </w:p>
    <w:p>
      <w:pPr>
        <w:pStyle w:val="TextBody"/>
        <w:bidi w:val="0"/>
        <w:spacing w:before="0" w:after="0"/>
        <w:ind w:left="180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granted </w:t>
      </w:r>
      <w:bookmarkStart w:id="377" w:name="xdx_90A_eus-gaap--StockIssuedDuringPerio"/>
      <w:bookmarkEnd w:id="377"/>
      <w:r>
        <w:rPr>
          <w:rFonts w:ascii="Times New Roman;Times;Serif" w:hAnsi="Times New Roman;Times;Serif"/>
          <w:b w:val="false"/>
          <w:i w:val="false"/>
          <w:caps w:val="false"/>
          <w:smallCaps w:val="false"/>
          <w:sz w:val="20"/>
        </w:rPr>
        <w:t>1,634,403 restricted shares of the Company’s common stock to employees and directors. The shares to employees are subject to a three-year vesting period, with one-third of such awards vesting each year. The shares to directors are subject to a one-year vesting period.</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shares was approximately $</w:t>
      </w:r>
      <w:bookmarkStart w:id="378" w:name="xdx_907_eus-gaap--StockIssuedDuringPerio"/>
      <w:bookmarkEnd w:id="378"/>
      <w:r>
        <w:rPr>
          <w:rFonts w:ascii="Times New Roman;Times;Serif" w:hAnsi="Times New Roman;Times;Serif"/>
          <w:b w:val="false"/>
          <w:i w:val="false"/>
          <w:caps w:val="false"/>
          <w:smallCaps w:val="false"/>
          <w:sz w:val="20"/>
        </w:rPr>
        <w:t>5.07 million.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granted </w:t>
      </w:r>
      <w:bookmarkStart w:id="379" w:name="xdx_90D_eus-gaap--StockIssuedDuringPerio"/>
      <w:bookmarkEnd w:id="379"/>
      <w:r>
        <w:rPr>
          <w:rFonts w:ascii="Times New Roman;Times;Serif" w:hAnsi="Times New Roman;Times;Serif"/>
          <w:b w:val="false"/>
          <w:i w:val="false"/>
          <w:caps w:val="false"/>
          <w:smallCaps w:val="false"/>
          <w:sz w:val="20"/>
        </w:rPr>
        <w:t>563,499 restricted share units of the Company’s common stock to the chief executive officer. The shares are subject to a three-year vesting period, with one-third of such awards vesting each year.</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restricted share units was approximately $</w:t>
      </w:r>
      <w:bookmarkStart w:id="380" w:name="xdx_900_eus-gaap--StockIssuedDuringPerio"/>
      <w:bookmarkEnd w:id="380"/>
      <w:r>
        <w:rPr>
          <w:rFonts w:ascii="Times New Roman;Times;Serif" w:hAnsi="Times New Roman;Times;Serif"/>
          <w:b w:val="false"/>
          <w:i w:val="false"/>
          <w:caps w:val="false"/>
          <w:smallCaps w:val="false"/>
          <w:sz w:val="20"/>
        </w:rPr>
        <w:t>1.77 million.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granted to employees and directors options to purchase a total of </w:t>
      </w:r>
      <w:bookmarkStart w:id="381" w:name="xdx_900_eus-gaap--ShareBasedCompensation"/>
      <w:bookmarkEnd w:id="381"/>
      <w:r>
        <w:rPr>
          <w:rFonts w:ascii="Times New Roman;Times;Serif" w:hAnsi="Times New Roman;Times;Serif"/>
          <w:b w:val="false"/>
          <w:i w:val="false"/>
          <w:caps w:val="false"/>
          <w:smallCaps w:val="false"/>
          <w:sz w:val="20"/>
        </w:rPr>
        <w:t>715,614 shares of the Company’s common stock. The options have exercise prices ranging from $</w:t>
      </w:r>
      <w:bookmarkStart w:id="382" w:name="xdx_905_eus-gaap--ShareBasedCompensation"/>
      <w:bookmarkEnd w:id="382"/>
      <w:r>
        <w:rPr>
          <w:rFonts w:ascii="Times New Roman;Times;Serif" w:hAnsi="Times New Roman;Times;Serif"/>
          <w:b w:val="false"/>
          <w:i w:val="false"/>
          <w:caps w:val="false"/>
          <w:smallCaps w:val="false"/>
          <w:sz w:val="20"/>
        </w:rPr>
        <w:t>2.71-$</w:t>
      </w:r>
      <w:bookmarkStart w:id="383" w:name="xdx_90A_eus-gaap--ShareBasedCompensation"/>
      <w:bookmarkEnd w:id="383"/>
      <w:r>
        <w:rPr>
          <w:rFonts w:ascii="Times New Roman;Times;Serif" w:hAnsi="Times New Roman;Times;Serif"/>
          <w:b w:val="false"/>
          <w:i w:val="false"/>
          <w:caps w:val="false"/>
          <w:smallCaps w:val="false"/>
          <w:sz w:val="20"/>
        </w:rPr>
        <w:t>3.14 per share, which was the fair market value of the Company’s common stock on the respective dates of the grant. The options to employees are subject to a three-year vesting period, with one-third of such awards vesting each year. The options to directors are subject to a one-year vesting period.</w:t>
      </w:r>
    </w:p>
    <w:p>
      <w:pPr>
        <w:pStyle w:val="TextBody"/>
        <w:bidi w:val="0"/>
        <w:spacing w:before="0" w:after="0"/>
        <w:ind w:left="720" w:right="0" w:hanging="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calculating the fair value of the above options, the Company used the following assumptions: dividend yield of </w:t>
      </w:r>
      <w:bookmarkStart w:id="384" w:name="xdx_90E_eus-gaap--ShareBasedCompensation"/>
      <w:bookmarkEnd w:id="384"/>
      <w:r>
        <w:rPr>
          <w:rFonts w:ascii="Times New Roman;Times;Serif" w:hAnsi="Times New Roman;Times;Serif"/>
          <w:b w:val="false"/>
          <w:i w:val="false"/>
          <w:caps w:val="false"/>
          <w:smallCaps w:val="false"/>
          <w:sz w:val="20"/>
        </w:rPr>
        <w:t xml:space="preserve">0% and expected term of </w:t>
      </w:r>
      <w:bookmarkStart w:id="385" w:name="xdx_901_eus-gaap--SharebasedCompensation"/>
      <w:bookmarkEnd w:id="385"/>
      <w:r>
        <w:rPr>
          <w:rFonts w:ascii="Times New Roman;Times;Serif" w:hAnsi="Times New Roman;Times;Serif"/>
          <w:b w:val="false"/>
          <w:i w:val="false"/>
          <w:caps w:val="false"/>
          <w:smallCaps w:val="false"/>
          <w:sz w:val="20"/>
        </w:rPr>
        <w:t>5.5-</w:t>
      </w:r>
      <w:bookmarkStart w:id="386" w:name="xdx_90C_eus-gaap--SharebasedCompensation"/>
      <w:bookmarkEnd w:id="386"/>
      <w:r>
        <w:rPr>
          <w:rFonts w:ascii="Times New Roman;Times;Serif" w:hAnsi="Times New Roman;Times;Serif"/>
          <w:b w:val="false"/>
          <w:i w:val="false"/>
          <w:caps w:val="false"/>
          <w:smallCaps w:val="false"/>
          <w:sz w:val="20"/>
        </w:rPr>
        <w:t xml:space="preserve">6.5 years; expected volatility ranging from </w:t>
      </w:r>
      <w:bookmarkStart w:id="387" w:name="xdx_90F_eus-gaap--ShareBasedCompensation"/>
      <w:bookmarkEnd w:id="387"/>
      <w:r>
        <w:rPr>
          <w:rFonts w:ascii="Times New Roman;Times;Serif" w:hAnsi="Times New Roman;Times;Serif"/>
          <w:b w:val="false"/>
          <w:i w:val="false"/>
          <w:caps w:val="false"/>
          <w:smallCaps w:val="false"/>
          <w:sz w:val="20"/>
        </w:rPr>
        <w:t>96.40%-</w:t>
      </w:r>
      <w:bookmarkStart w:id="388" w:name="xdx_90D_eus-gaap--ShareBasedCompensation"/>
      <w:bookmarkEnd w:id="388"/>
      <w:r>
        <w:rPr>
          <w:rFonts w:ascii="Times New Roman;Times;Serif" w:hAnsi="Times New Roman;Times;Serif"/>
          <w:b w:val="false"/>
          <w:i w:val="false"/>
          <w:caps w:val="false"/>
          <w:smallCaps w:val="false"/>
          <w:sz w:val="20"/>
        </w:rPr>
        <w:t xml:space="preserve">119.38%; and risk-free interest rate ranging from </w:t>
      </w:r>
      <w:bookmarkStart w:id="389" w:name="xdx_900_eus-gaap--ShareBasedCompensation"/>
      <w:bookmarkEnd w:id="389"/>
      <w:r>
        <w:rPr>
          <w:rFonts w:ascii="Times New Roman;Times;Serif" w:hAnsi="Times New Roman;Times;Serif"/>
          <w:b w:val="false"/>
          <w:i w:val="false"/>
          <w:caps w:val="false"/>
          <w:smallCaps w:val="false"/>
          <w:sz w:val="20"/>
        </w:rPr>
        <w:t>3.93%-</w:t>
      </w:r>
      <w:bookmarkStart w:id="390" w:name="xdx_908_eus-gaap--ShareBasedCompensation"/>
      <w:bookmarkEnd w:id="390"/>
      <w:r>
        <w:rPr>
          <w:rFonts w:ascii="Times New Roman;Times;Serif" w:hAnsi="Times New Roman;Times;Serif"/>
          <w:b w:val="false"/>
          <w:i w:val="false"/>
          <w:caps w:val="false"/>
          <w:smallCaps w:val="false"/>
          <w:sz w:val="20"/>
        </w:rPr>
        <w:t>4.10%.</w:t>
      </w:r>
    </w:p>
    <w:p>
      <w:pPr>
        <w:pStyle w:val="TextBody"/>
        <w:bidi w:val="0"/>
        <w:spacing w:before="0" w:after="0"/>
        <w:ind w:left="720" w:right="0" w:hanging="72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options, using the Black-Scholes option-pricing model, was approximately $</w:t>
      </w:r>
      <w:bookmarkStart w:id="391" w:name="xdx_903_eus-gaap--SharebasedCompensation"/>
      <w:bookmarkEnd w:id="391"/>
      <w:r>
        <w:rPr>
          <w:rFonts w:ascii="Times New Roman;Times;Serif" w:hAnsi="Times New Roman;Times;Serif"/>
          <w:b w:val="false"/>
          <w:i w:val="false"/>
          <w:caps w:val="false"/>
          <w:smallCaps w:val="false"/>
          <w:sz w:val="20"/>
        </w:rPr>
        <w:t>1.85 million.</w:t>
      </w:r>
    </w:p>
    <w:p>
      <w:pPr>
        <w:pStyle w:val="TextBody"/>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2024, the Company granted to consultants options to purchase a total of </w:t>
      </w:r>
      <w:bookmarkStart w:id="392" w:name="xdx_90B_eus-gaap--ShareBasedCompensation"/>
      <w:bookmarkEnd w:id="392"/>
      <w:r>
        <w:rPr>
          <w:rFonts w:ascii="Times New Roman;Times;Serif" w:hAnsi="Times New Roman;Times;Serif"/>
          <w:b w:val="false"/>
          <w:i w:val="false"/>
          <w:caps w:val="false"/>
          <w:smallCaps w:val="false"/>
          <w:sz w:val="20"/>
        </w:rPr>
        <w:t>125,000 shares of the Company’s common stock. The options have an exercise price of $</w:t>
      </w:r>
      <w:bookmarkStart w:id="393" w:name="xdx_907_eus-gaap--ShareBasedCompensation"/>
      <w:bookmarkEnd w:id="393"/>
      <w:r>
        <w:rPr>
          <w:rFonts w:ascii="Times New Roman;Times;Serif" w:hAnsi="Times New Roman;Times;Serif"/>
          <w:b w:val="false"/>
          <w:i w:val="false"/>
          <w:caps w:val="false"/>
          <w:smallCaps w:val="false"/>
          <w:sz w:val="20"/>
        </w:rPr>
        <w:t xml:space="preserve">2.37 per share, which was the fair market value of the Company’s common stock on the date of the grant. </w:t>
      </w:r>
      <w:bookmarkStart w:id="394" w:name="xdx_901_eus-gaap--ShareBasedCompensation"/>
      <w:bookmarkEnd w:id="394"/>
      <w:r>
        <w:rPr>
          <w:rFonts w:ascii="Times New Roman;Times;Serif" w:hAnsi="Times New Roman;Times;Serif"/>
          <w:b w:val="false"/>
          <w:i w:val="false"/>
          <w:caps w:val="false"/>
          <w:smallCaps w:val="false"/>
          <w:sz w:val="20"/>
        </w:rPr>
        <w:t xml:space="preserve">25,000 options are subject to a two-year vesting period (of which </w:t>
      </w:r>
      <w:bookmarkStart w:id="395" w:name="xdx_905_eus-gaap--ShareBasedCompensation"/>
      <w:bookmarkEnd w:id="395"/>
      <w:r>
        <w:rPr>
          <w:rFonts w:ascii="Times New Roman;Times;Serif" w:hAnsi="Times New Roman;Times;Serif"/>
          <w:b w:val="false"/>
          <w:i w:val="false"/>
          <w:caps w:val="false"/>
          <w:smallCaps w:val="false"/>
          <w:sz w:val="20"/>
        </w:rPr>
        <w:t xml:space="preserve">12,500 options are vesting in the first year and </w:t>
      </w:r>
      <w:bookmarkStart w:id="396" w:name="xdx_90B_eus-gaap--ShareBasedCompensation"/>
      <w:bookmarkEnd w:id="396"/>
      <w:r>
        <w:rPr>
          <w:rFonts w:ascii="Times New Roman;Times;Serif" w:hAnsi="Times New Roman;Times;Serif"/>
          <w:b w:val="false"/>
          <w:i w:val="false"/>
          <w:caps w:val="false"/>
          <w:smallCaps w:val="false"/>
          <w:sz w:val="20"/>
        </w:rPr>
        <w:t xml:space="preserve">12,500 options are vesting in the second year) and </w:t>
      </w:r>
      <w:bookmarkStart w:id="397" w:name="xdx_907_eus-gaap--ShareBasedCompensation"/>
      <w:bookmarkEnd w:id="397"/>
      <w:r>
        <w:rPr>
          <w:rFonts w:ascii="Times New Roman;Times;Serif" w:hAnsi="Times New Roman;Times;Serif"/>
          <w:b w:val="false"/>
          <w:i w:val="false"/>
          <w:caps w:val="false"/>
          <w:smallCaps w:val="false"/>
          <w:sz w:val="20"/>
        </w:rPr>
        <w:t>100,000 options with performance conditions related to clinical activities.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calculating the fair value of the above options, the Company used the following assumptions: dividend yield of </w:t>
      </w:r>
      <w:bookmarkStart w:id="398" w:name="xdx_905_eus-gaap--ShareBasedCompensation"/>
      <w:bookmarkEnd w:id="398"/>
      <w:r>
        <w:rPr>
          <w:rFonts w:ascii="Times New Roman;Times;Serif" w:hAnsi="Times New Roman;Times;Serif"/>
          <w:b w:val="false"/>
          <w:i w:val="false"/>
          <w:caps w:val="false"/>
          <w:smallCaps w:val="false"/>
          <w:sz w:val="20"/>
        </w:rPr>
        <w:t xml:space="preserve">0% and expected term of </w:t>
      </w:r>
      <w:bookmarkStart w:id="399" w:name="xdx_90C_eus-gaap--SharebasedCompensation"/>
      <w:bookmarkEnd w:id="399"/>
      <w:r>
        <w:rPr>
          <w:rFonts w:ascii="Times New Roman;Times;Serif" w:hAnsi="Times New Roman;Times;Serif"/>
          <w:b w:val="false"/>
          <w:i w:val="false"/>
          <w:caps w:val="false"/>
          <w:smallCaps w:val="false"/>
          <w:sz w:val="20"/>
        </w:rPr>
        <w:t>5.125-</w:t>
      </w:r>
      <w:bookmarkStart w:id="400" w:name="xdx_90F_eus-gaap--SharebasedCompensation"/>
      <w:bookmarkEnd w:id="400"/>
      <w:r>
        <w:rPr>
          <w:rFonts w:ascii="Times New Roman;Times;Serif" w:hAnsi="Times New Roman;Times;Serif"/>
          <w:b w:val="false"/>
          <w:i w:val="false"/>
          <w:caps w:val="false"/>
          <w:smallCaps w:val="false"/>
          <w:sz w:val="20"/>
        </w:rPr>
        <w:t xml:space="preserve">6 years; expected volatility ranging from </w:t>
      </w:r>
      <w:bookmarkStart w:id="401" w:name="xdx_904_eus-gaap--ShareBasedCompensation"/>
      <w:bookmarkEnd w:id="401"/>
      <w:r>
        <w:rPr>
          <w:rFonts w:ascii="Times New Roman;Times;Serif" w:hAnsi="Times New Roman;Times;Serif"/>
          <w:b w:val="false"/>
          <w:i w:val="false"/>
          <w:caps w:val="false"/>
          <w:smallCaps w:val="false"/>
          <w:sz w:val="20"/>
        </w:rPr>
        <w:t>96.01%-</w:t>
      </w:r>
      <w:bookmarkStart w:id="402" w:name="xdx_903_eus-gaap--ShareBasedCompensation"/>
      <w:bookmarkEnd w:id="402"/>
      <w:r>
        <w:rPr>
          <w:rFonts w:ascii="Times New Roman;Times;Serif" w:hAnsi="Times New Roman;Times;Serif"/>
          <w:b w:val="false"/>
          <w:i w:val="false"/>
          <w:caps w:val="false"/>
          <w:smallCaps w:val="false"/>
          <w:sz w:val="20"/>
        </w:rPr>
        <w:t xml:space="preserve">100.76%; and risk-free interest rate ranging from </w:t>
      </w:r>
      <w:bookmarkStart w:id="403" w:name="xdx_90D_eus-gaap--ShareBasedCompensation"/>
      <w:bookmarkEnd w:id="403"/>
      <w:r>
        <w:rPr>
          <w:rFonts w:ascii="Times New Roman;Times;Serif" w:hAnsi="Times New Roman;Times;Serif"/>
          <w:b w:val="false"/>
          <w:i w:val="false"/>
          <w:caps w:val="false"/>
          <w:smallCaps w:val="false"/>
          <w:sz w:val="20"/>
        </w:rPr>
        <w:t>4.33%-</w:t>
      </w:r>
      <w:bookmarkStart w:id="404" w:name="xdx_904_eus-gaap--ShareBasedCompensation"/>
      <w:bookmarkEnd w:id="404"/>
      <w:r>
        <w:rPr>
          <w:rFonts w:ascii="Times New Roman;Times;Serif" w:hAnsi="Times New Roman;Times;Serif"/>
          <w:b w:val="false"/>
          <w:i w:val="false"/>
          <w:caps w:val="false"/>
          <w:smallCaps w:val="false"/>
          <w:sz w:val="20"/>
        </w:rPr>
        <w:t>4.34%.</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above options, using the Black-Scholes option-pricing model, was $</w:t>
      </w:r>
      <w:bookmarkStart w:id="405" w:name="xdx_905_eus-gaap--SharebasedCompensation"/>
      <w:bookmarkEnd w:id="405"/>
      <w:r>
        <w:rPr>
          <w:rFonts w:ascii="Times New Roman;Times;Serif" w:hAnsi="Times New Roman;Times;Serif"/>
          <w:b w:val="false"/>
          <w:i w:val="false"/>
          <w:caps w:val="false"/>
          <w:smallCaps w:val="false"/>
          <w:sz w:val="20"/>
        </w:rPr>
        <w:t>233,169.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06" w:name="xdx_80D_eus-gaap--RelatedPartyTransactio"/>
      <w:bookmarkEnd w:id="406"/>
      <w:r>
        <w:rPr>
          <w:rFonts w:ascii="Times New Roman;Times;Serif" w:hAnsi="Times New Roman;Times;Serif"/>
          <w:b/>
          <w:i w:val="false"/>
          <w:caps w:val="false"/>
          <w:smallCaps w:val="false"/>
          <w:sz w:val="20"/>
        </w:rPr>
        <w:t xml:space="preserve">NOTE 7 – </w:t>
      </w:r>
      <w:bookmarkStart w:id="407" w:name="xdx_822_zpuYOQZOLeT6"/>
      <w:bookmarkEnd w:id="407"/>
      <w:r>
        <w:rPr>
          <w:rFonts w:ascii="Times New Roman;Times;Serif" w:hAnsi="Times New Roman;Times;Serif"/>
          <w:b/>
          <w:i w:val="false"/>
          <w:caps w:val="false"/>
          <w:smallCaps w:val="false"/>
          <w:sz w:val="20"/>
        </w:rPr>
        <w:t>RELATED PARTIES TRANSACTIONS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and three months ended June 30, 2024, a member of the immediate family of the CEO provided certain administrative services in connection with the Company’s expansion to the U.S. in the amount of $</w:t>
      </w:r>
      <w:bookmarkStart w:id="408" w:name="xdx_90E_eus-gaap--RelatedPartyTransactio"/>
      <w:bookmarkEnd w:id="408"/>
      <w:r>
        <w:rPr>
          <w:rFonts w:ascii="Times New Roman;Times;Serif" w:hAnsi="Times New Roman;Times;Serif"/>
          <w:b w:val="false"/>
          <w:i w:val="false"/>
          <w:caps w:val="false"/>
          <w:smallCaps w:val="false"/>
          <w:sz w:val="20"/>
        </w:rPr>
        <w:t>30,000 and $</w:t>
      </w:r>
      <w:bookmarkStart w:id="409" w:name="xdx_90E_eus-gaap--RelatedPartyTransactio"/>
      <w:bookmarkEnd w:id="409"/>
      <w:r>
        <w:rPr>
          <w:rFonts w:ascii="Times New Roman;Times;Serif" w:hAnsi="Times New Roman;Times;Serif"/>
          <w:b w:val="false"/>
          <w:i w:val="false"/>
          <w:caps w:val="false"/>
          <w:smallCaps w:val="false"/>
          <w:sz w:val="20"/>
        </w:rPr>
        <w:t>15,000,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10" w:name="xdx_80A_eus-gaap--EarningsPerShareTextBl"/>
      <w:bookmarkEnd w:id="410"/>
      <w:r>
        <w:rPr>
          <w:rFonts w:ascii="Times New Roman;Times;Serif" w:hAnsi="Times New Roman;Times;Serif"/>
          <w:b/>
          <w:i w:val="false"/>
          <w:caps w:val="false"/>
          <w:smallCaps w:val="false"/>
          <w:sz w:val="20"/>
        </w:rPr>
        <w:t xml:space="preserve">NOTE 8 - </w:t>
      </w:r>
      <w:bookmarkStart w:id="411" w:name="xdx_823_zpn9UlMTcKA9"/>
      <w:bookmarkEnd w:id="411"/>
      <w:r>
        <w:rPr>
          <w:rFonts w:ascii="Times New Roman;Times;Serif" w:hAnsi="Times New Roman;Times;Serif"/>
          <w:b/>
          <w:i w:val="false"/>
          <w:caps w:val="false"/>
          <w:smallCaps w:val="false"/>
          <w:sz w:val="20"/>
        </w:rPr>
        <w:t>NET LOSS PER SHARE:</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pStyle w:val="TextBody"/>
        <w:shd w:fill="FFFFFF" w:val="clear"/>
        <w:bidi w:val="0"/>
        <w:spacing w:before="0" w:after="0"/>
        <w:ind w:left="108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nor any other contingencies associated with them. For the six and three-month periods ended June 30, 2024, we had weighted average pre-funded warrants of </w:t>
      </w:r>
      <w:bookmarkStart w:id="412" w:name="xdx_905_eus-gaap--WeightedAverageNumberD"/>
      <w:bookmarkEnd w:id="412"/>
      <w:r>
        <w:rPr>
          <w:rFonts w:ascii="Times New Roman;Times;Serif" w:hAnsi="Times New Roman;Times;Serif"/>
          <w:b w:val="false"/>
          <w:i w:val="false"/>
          <w:caps w:val="false"/>
          <w:smallCaps w:val="false"/>
          <w:sz w:val="20"/>
        </w:rPr>
        <w:t xml:space="preserve">15,385,212 and </w:t>
      </w:r>
      <w:bookmarkStart w:id="413" w:name="xdx_905_eus-gaap--WeightedAverageNumberD"/>
      <w:bookmarkEnd w:id="413"/>
      <w:r>
        <w:rPr>
          <w:rFonts w:ascii="Times New Roman;Times;Serif" w:hAnsi="Times New Roman;Times;Serif"/>
          <w:b w:val="false"/>
          <w:i w:val="false"/>
          <w:caps w:val="false"/>
          <w:smallCaps w:val="false"/>
          <w:sz w:val="20"/>
        </w:rPr>
        <w:t>15,515,802, respectively, which were used in the computations of net loss per share for the six and three-month periods.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shares of common stock related to outstanding options, warrants, unvested restricted stock, unvested restricted stock units and Series C Preferred Stock excluded from the calculations of diluted loss per share were </w:t>
      </w:r>
      <w:bookmarkStart w:id="414" w:name="xdx_909_eus-gaap--AntidilutiveSecurities"/>
      <w:bookmarkStart w:id="415" w:name="xdx_90D_eus-gaap--AntidilutiveSecurities"/>
      <w:bookmarkEnd w:id="414"/>
      <w:bookmarkEnd w:id="415"/>
      <w:r>
        <w:rPr>
          <w:rFonts w:ascii="Times New Roman;Times;Serif" w:hAnsi="Times New Roman;Times;Serif"/>
          <w:b w:val="false"/>
          <w:i w:val="false"/>
          <w:caps w:val="false"/>
          <w:smallCaps w:val="false"/>
          <w:sz w:val="20"/>
        </w:rPr>
        <w:t xml:space="preserve">48,550,189 and </w:t>
      </w:r>
      <w:bookmarkStart w:id="416" w:name="xdx_904_eus-gaap--AntidilutiveSecurities"/>
      <w:bookmarkStart w:id="417" w:name="xdx_90F_eus-gaap--AntidilutiveSecurities"/>
      <w:bookmarkEnd w:id="416"/>
      <w:bookmarkEnd w:id="417"/>
      <w:r>
        <w:rPr>
          <w:rFonts w:ascii="Times New Roman;Times;Serif" w:hAnsi="Times New Roman;Times;Serif"/>
          <w:b w:val="false"/>
          <w:i w:val="false"/>
          <w:caps w:val="false"/>
          <w:smallCaps w:val="false"/>
          <w:sz w:val="20"/>
        </w:rPr>
        <w:t xml:space="preserve">59,624,929 for the six and three-month periods ended June 30, 2024 and 2023, respectively. </w:t>
      </w:r>
      <w:r>
        <w:rPr>
          <w:rFonts w:ascii="Times New Roman;Times;Serif" w:hAnsi="Times New Roman;Times;Serif"/>
          <w:b w:val="false"/>
          <w:i w:val="false"/>
          <w:caps w:val="false"/>
          <w:smallCaps w:val="false"/>
          <w:sz w:val="20"/>
          <w:shd w:fill="FFFFFF" w:val="clear"/>
        </w:rPr>
        <w:t xml:space="preserve">This amount includes </w:t>
      </w:r>
      <w:bookmarkStart w:id="418" w:name="xdx_90E_eus-gaap--ShareBasedCompensation"/>
      <w:bookmarkEnd w:id="418"/>
      <w:r>
        <w:rPr>
          <w:rFonts w:ascii="Times New Roman;Times;Serif" w:hAnsi="Times New Roman;Times;Serif"/>
          <w:b w:val="false"/>
          <w:i w:val="false"/>
          <w:caps w:val="false"/>
          <w:smallCaps w:val="false"/>
          <w:sz w:val="20"/>
          <w:shd w:fill="FFFFFF" w:val="clear"/>
        </w:rPr>
        <w:t xml:space="preserve">3,744,828 and </w:t>
      </w:r>
      <w:bookmarkStart w:id="419" w:name="xdx_904_eus-gaap--ShareBasedCompensation"/>
      <w:bookmarkEnd w:id="419"/>
      <w:r>
        <w:rPr>
          <w:rFonts w:ascii="Times New Roman;Times;Serif" w:hAnsi="Times New Roman;Times;Serif"/>
          <w:b w:val="false"/>
          <w:i w:val="false"/>
          <w:caps w:val="false"/>
          <w:smallCaps w:val="false"/>
          <w:sz w:val="20"/>
          <w:shd w:fill="FFFFFF" w:val="clear"/>
        </w:rPr>
        <w:t>2,905,615 of unvested restricted stock included in the number of issued and outstanding shares as of June 30, 2024 and 2023,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20" w:name="xdx_80A_eus-gaap--FinancialInstrumentsDi"/>
      <w:bookmarkEnd w:id="420"/>
      <w:r>
        <w:rPr>
          <w:rFonts w:ascii="Times New Roman;Times;Serif" w:hAnsi="Times New Roman;Times;Serif"/>
          <w:b/>
          <w:i w:val="false"/>
          <w:caps w:val="false"/>
          <w:smallCaps w:val="false"/>
          <w:sz w:val="20"/>
        </w:rPr>
        <w:t xml:space="preserve">NOTE 9 - </w:t>
      </w:r>
      <w:bookmarkStart w:id="421" w:name="xdx_82B_zdmQS39Nmzs1"/>
      <w:bookmarkEnd w:id="421"/>
      <w:r>
        <w:rPr>
          <w:rFonts w:ascii="Times New Roman;Times;Serif" w:hAnsi="Times New Roman;Times;Serif"/>
          <w:b/>
          <w:i w:val="false"/>
          <w:caps w:val="false"/>
          <w:smallCaps w:val="false"/>
          <w:sz w:val="20"/>
        </w:rPr>
        <w:t>FINANCIAL INSTRUMENTS:</w:t>
      </w:r>
    </w:p>
    <w:p>
      <w:pPr>
        <w:pStyle w:val="TextBody"/>
        <w:bidi w:val="0"/>
        <w:spacing w:before="0" w:after="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w:t>
            </w:r>
          </w:p>
        </w:tc>
        <w:tc>
          <w:tcPr>
            <w:tcW w:w="29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instruments approximate their fair value either because these amounts are presented at fair value or due to the relatively short-term maturities of such instruments.</w:t>
      </w:r>
    </w:p>
    <w:p>
      <w:pPr>
        <w:pStyle w:val="TextBody"/>
        <w:bidi w:val="0"/>
        <w:spacing w:before="0" w:after="0"/>
        <w:ind w:left="971" w:right="0" w:firstLine="22"/>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June 30, 2024, and December 31, 2023, allowance for expected credit loss was immaterial.</w:t>
            </w:r>
          </w:p>
        </w:tc>
      </w:tr>
    </w:tbl>
    <w:p>
      <w:pPr>
        <w:pStyle w:val="TextBody"/>
        <w:bidi w:val="0"/>
        <w:spacing w:before="0" w:after="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22" w:name="xdx_80A_eus-gaap--InventoryDisclosureTex"/>
      <w:bookmarkEnd w:id="422"/>
      <w:r>
        <w:rPr>
          <w:rFonts w:ascii="Times New Roman;Times;Serif" w:hAnsi="Times New Roman;Times;Serif"/>
          <w:b/>
          <w:i w:val="false"/>
          <w:caps w:val="false"/>
          <w:smallCaps w:val="false"/>
          <w:sz w:val="20"/>
        </w:rPr>
        <w:t xml:space="preserve">NOTE 10- </w:t>
      </w:r>
      <w:bookmarkStart w:id="423" w:name="xdx_820_zVkD5GccCpjk"/>
      <w:bookmarkEnd w:id="423"/>
      <w:r>
        <w:rPr>
          <w:rFonts w:ascii="Times New Roman;Times;Serif" w:hAnsi="Times New Roman;Times;Serif"/>
          <w:b/>
          <w:i w:val="false"/>
          <w:caps w:val="false"/>
          <w:smallCaps w:val="false"/>
          <w:sz w:val="20"/>
        </w:rPr>
        <w:t>INVENTORY:</w:t>
      </w:r>
    </w:p>
    <w:p>
      <w:pPr>
        <w:pStyle w:val="TextBody"/>
        <w:bidi w:val="0"/>
        <w:spacing w:before="0" w:after="0"/>
        <w:jc w:val="left"/>
        <w:rPr>
          <w:caps w:val="false"/>
          <w:smallCaps w:val="false"/>
        </w:rPr>
      </w:pPr>
      <w:bookmarkStart w:id="424" w:name="xdx_89D_eus-gaap--ScheduleOfInventoryCur"/>
      <w:bookmarkEnd w:id="424"/>
      <w:r>
        <w:rPr>
          <w:caps w:val="false"/>
          <w:smallCaps w:val="false"/>
        </w:rPr>
        <w:t> </w:t>
      </w:r>
      <w:bookmarkStart w:id="425" w:name="xdx_8BC_z0PZD3Ius019"/>
      <w:bookmarkEnd w:id="425"/>
      <w:r>
        <w:rPr>
          <w:rFonts w:ascii="Times New Roman;Times;Serif" w:hAnsi="Times New Roman;Times;Serif"/>
          <w:b w:val="false"/>
          <w:i w:val="false"/>
          <w:caps w:val="false"/>
          <w:smallCaps w:val="false"/>
          <w:sz w:val="20"/>
        </w:rPr>
        <w:t>SCHEDULE OF INVENTORIES</w:t>
      </w:r>
    </w:p>
    <w:tbl>
      <w:tblPr>
        <w:tblW w:w="5160" w:type="dxa"/>
        <w:jc w:val="left"/>
        <w:tblInd w:w="0" w:type="dxa"/>
        <w:tblLayout w:type="fixed"/>
        <w:tblCellMar>
          <w:top w:w="0" w:type="dxa"/>
          <w:left w:w="0" w:type="dxa"/>
          <w:bottom w:w="0" w:type="dxa"/>
          <w:right w:w="0" w:type="dxa"/>
        </w:tblCellMar>
      </w:tblPr>
      <w:tblGrid>
        <w:gridCol w:w="2615"/>
        <w:gridCol w:w="60"/>
        <w:gridCol w:w="175"/>
        <w:gridCol w:w="700"/>
        <w:gridCol w:w="60"/>
        <w:gridCol w:w="60"/>
        <w:gridCol w:w="283"/>
        <w:gridCol w:w="1132"/>
        <w:gridCol w:w="7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6" w:name="xdx_493_20240630_zTcq6DhpT7F3"/>
            <w:bookmarkEnd w:id="426"/>
          </w:p>
        </w:tc>
        <w:tc>
          <w:tcPr>
            <w:tcW w:w="875"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7" w:name="xdx_490_20231231_zgzLrxTzwAYj"/>
            <w:bookmarkEnd w:id="427"/>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428" w:name="xdx_40B_eus-gaap--InventoryFinishedGoods"/>
            <w:bookmarkEnd w:id="428"/>
          </w:p>
        </w:tc>
      </w:tr>
      <w:tr>
        <w:trPr/>
        <w:tc>
          <w:tcPr>
            <w:tcW w:w="261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210</w:t>
            </w:r>
          </w:p>
        </w:tc>
        <w:tc>
          <w:tcPr>
            <w:tcW w:w="75" w:type="dxa"/>
            <w:tcBorders/>
            <w:shd w:fill="CCEEFF" w:val="clear"/>
            <w:vAlign w:val="center"/>
          </w:tcPr>
          <w:p>
            <w:pPr>
              <w:pStyle w:val="TableContents"/>
              <w:bidi w:val="0"/>
              <w:spacing w:before="0" w:after="283"/>
              <w:jc w:val="left"/>
              <w:rPr/>
            </w:pPr>
            <w:r>
              <w:rPr/>
              <w:t> </w:t>
            </w:r>
            <w:bookmarkStart w:id="429" w:name="xdx_40D_eus-gaap--InventoryWorkInProcess"/>
            <w:bookmarkEnd w:id="429"/>
          </w:p>
        </w:tc>
      </w:tr>
      <w:tr>
        <w:trPr/>
        <w:tc>
          <w:tcPr>
            <w:tcW w:w="2615"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562</w:t>
            </w:r>
          </w:p>
        </w:tc>
        <w:tc>
          <w:tcPr>
            <w:tcW w:w="75" w:type="dxa"/>
            <w:tcBorders/>
            <w:shd w:fill="FFFFFF" w:val="clear"/>
            <w:vAlign w:val="center"/>
          </w:tcPr>
          <w:p>
            <w:pPr>
              <w:pStyle w:val="TableContents"/>
              <w:bidi w:val="0"/>
              <w:spacing w:before="0" w:after="283"/>
              <w:jc w:val="left"/>
              <w:rPr/>
            </w:pPr>
            <w:r>
              <w:rPr/>
              <w:t> </w:t>
            </w:r>
            <w:bookmarkStart w:id="430" w:name="xdx_401_eus-gaap--InventoryRawMaterialsA"/>
            <w:bookmarkEnd w:id="430"/>
          </w:p>
        </w:tc>
      </w:tr>
      <w:tr>
        <w:trPr/>
        <w:tc>
          <w:tcPr>
            <w:tcW w:w="2615" w:type="dxa"/>
            <w:tcBorders/>
            <w:shd w:fill="CCEEFF" w:val="clear"/>
            <w:vAlign w:val="center"/>
          </w:tcPr>
          <w:p>
            <w:pPr>
              <w:pStyle w:val="TableContents"/>
              <w:bidi w:val="0"/>
              <w:spacing w:before="0" w:after="283"/>
              <w:jc w:val="left"/>
              <w:rPr/>
            </w:pPr>
            <w:r>
              <w:rPr/>
              <w:t>Raw materials and supplies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1,334</w:t>
            </w:r>
          </w:p>
        </w:tc>
        <w:tc>
          <w:tcPr>
            <w:tcW w:w="75" w:type="dxa"/>
            <w:tcBorders/>
            <w:shd w:fill="CCEEFF" w:val="clear"/>
            <w:vAlign w:val="center"/>
          </w:tcPr>
          <w:p>
            <w:pPr>
              <w:pStyle w:val="TableContents"/>
              <w:bidi w:val="0"/>
              <w:spacing w:before="0" w:after="283"/>
              <w:jc w:val="left"/>
              <w:rPr/>
            </w:pPr>
            <w:r>
              <w:rPr/>
              <w:t> </w:t>
            </w:r>
            <w:bookmarkStart w:id="431" w:name="xdx_40F_eus-gaap--InventoryNet_iTI_pn3n3"/>
            <w:bookmarkEnd w:id="431"/>
          </w:p>
        </w:tc>
      </w:tr>
      <w:tr>
        <w:trPr/>
        <w:tc>
          <w:tcPr>
            <w:tcW w:w="26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2,206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2,106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32" w:name="xdx_8A0_zQboQxYFO5ke"/>
      <w:bookmarkEnd w:id="432"/>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33" w:name="xdx_800_eus-gaap--AccountsPayableAndAccr"/>
      <w:bookmarkEnd w:id="433"/>
      <w:r>
        <w:rPr>
          <w:rFonts w:ascii="Times New Roman;Times;Serif" w:hAnsi="Times New Roman;Times;Serif"/>
          <w:b/>
          <w:i w:val="false"/>
          <w:caps w:val="false"/>
          <w:smallCaps w:val="false"/>
          <w:sz w:val="20"/>
        </w:rPr>
        <w:t xml:space="preserve">NOTE 11 - </w:t>
      </w:r>
      <w:bookmarkStart w:id="434" w:name="xdx_821_zbjQ5fQRnYI8"/>
      <w:bookmarkEnd w:id="434"/>
      <w:r>
        <w:rPr>
          <w:rFonts w:ascii="Times New Roman;Times;Serif" w:hAnsi="Times New Roman;Times;Serif"/>
          <w:b/>
          <w:i w:val="false"/>
          <w:caps w:val="false"/>
          <w:smallCaps w:val="false"/>
          <w:sz w:val="20"/>
        </w:rPr>
        <w:t>ACCOUNTS PAYABLE AND ACCRUALS - OTHER:</w:t>
      </w:r>
    </w:p>
    <w:p>
      <w:pPr>
        <w:pStyle w:val="TextBody"/>
        <w:bidi w:val="0"/>
        <w:spacing w:before="0" w:after="0"/>
        <w:jc w:val="left"/>
        <w:rPr>
          <w:caps w:val="false"/>
          <w:smallCaps w:val="false"/>
        </w:rPr>
      </w:pPr>
      <w:bookmarkStart w:id="435" w:name="xdx_89B_eus-gaap--ScheduleOfAccountsPaya"/>
      <w:bookmarkEnd w:id="435"/>
      <w:r>
        <w:rPr>
          <w:caps w:val="false"/>
          <w:smallCaps w:val="false"/>
        </w:rPr>
        <w:t> </w:t>
      </w:r>
      <w:bookmarkStart w:id="436" w:name="xdx_8B6_zgZR2ORWNDT6"/>
      <w:bookmarkEnd w:id="436"/>
      <w:r>
        <w:rPr>
          <w:rFonts w:ascii="Times New Roman;Times;Serif" w:hAnsi="Times New Roman;Times;Serif"/>
          <w:b/>
          <w:i w:val="false"/>
          <w:caps w:val="false"/>
          <w:smallCaps w:val="false"/>
          <w:sz w:val="20"/>
        </w:rPr>
        <w:t>SCHEDULE OF ACCOUNTS PAYABLE AND ACCRUALS - OTHER</w:t>
      </w:r>
    </w:p>
    <w:tbl>
      <w:tblPr>
        <w:tblW w:w="6088" w:type="dxa"/>
        <w:jc w:val="left"/>
        <w:tblInd w:w="0" w:type="dxa"/>
        <w:tblLayout w:type="fixed"/>
        <w:tblCellMar>
          <w:top w:w="0" w:type="dxa"/>
          <w:left w:w="0" w:type="dxa"/>
          <w:bottom w:w="0" w:type="dxa"/>
          <w:right w:w="0" w:type="dxa"/>
        </w:tblCellMar>
      </w:tblPr>
      <w:tblGrid>
        <w:gridCol w:w="3545"/>
        <w:gridCol w:w="60"/>
        <w:gridCol w:w="84"/>
        <w:gridCol w:w="790"/>
        <w:gridCol w:w="60"/>
        <w:gridCol w:w="60"/>
        <w:gridCol w:w="136"/>
        <w:gridCol w:w="1278"/>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4_20240630_zbsxwlh3ACif"/>
            <w:bookmarkEnd w:id="437"/>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8" w:name="xdx_49A_20231231_zpNS8xXyK7a9"/>
            <w:bookmarkEnd w:id="438"/>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bookmarkStart w:id="439" w:name="xdx_40F_eus-gaap--AccruedSalariesCurrent"/>
            <w:bookmarkEnd w:id="439"/>
          </w:p>
        </w:tc>
      </w:tr>
      <w:tr>
        <w:trPr/>
        <w:tc>
          <w:tcPr>
            <w:tcW w:w="3545" w:type="dxa"/>
            <w:tcBorders/>
            <w:shd w:fill="CCEEFF" w:val="clear"/>
            <w:vAlign w:val="center"/>
          </w:tcPr>
          <w:p>
            <w:pPr>
              <w:pStyle w:val="TableContents"/>
              <w:bidi w:val="0"/>
              <w:spacing w:before="0" w:after="283"/>
              <w:jc w:val="left"/>
              <w:rPr/>
            </w:pPr>
            <w:r>
              <w:rPr/>
              <w:t>Employees and employee institutions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2,188</w:t>
            </w:r>
          </w:p>
        </w:tc>
        <w:tc>
          <w:tcPr>
            <w:tcW w:w="75" w:type="dxa"/>
            <w:tcBorders/>
            <w:shd w:fill="CCEEFF" w:val="clear"/>
            <w:vAlign w:val="center"/>
          </w:tcPr>
          <w:p>
            <w:pPr>
              <w:pStyle w:val="TableContents"/>
              <w:bidi w:val="0"/>
              <w:spacing w:before="0" w:after="283"/>
              <w:jc w:val="left"/>
              <w:rPr/>
            </w:pPr>
            <w:r>
              <w:rPr/>
              <w:t> </w:t>
            </w:r>
            <w:bookmarkStart w:id="440" w:name="xdx_40C_eus-gaap--AccruedVacationCurrent"/>
            <w:bookmarkEnd w:id="440"/>
          </w:p>
        </w:tc>
      </w:tr>
      <w:tr>
        <w:trPr/>
        <w:tc>
          <w:tcPr>
            <w:tcW w:w="3545" w:type="dxa"/>
            <w:tcBorders/>
            <w:shd w:fill="FFFFFF" w:val="clear"/>
            <w:vAlign w:val="center"/>
          </w:tcPr>
          <w:p>
            <w:pPr>
              <w:pStyle w:val="TableContents"/>
              <w:bidi w:val="0"/>
              <w:spacing w:before="0" w:after="283"/>
              <w:jc w:val="left"/>
              <w:rPr/>
            </w:pPr>
            <w:r>
              <w:rPr/>
              <w:t>Accrued vacation and recreation pay</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287</w:t>
            </w:r>
          </w:p>
        </w:tc>
        <w:tc>
          <w:tcPr>
            <w:tcW w:w="75" w:type="dxa"/>
            <w:tcBorders/>
            <w:shd w:fill="FFFFFF" w:val="clear"/>
            <w:vAlign w:val="center"/>
          </w:tcPr>
          <w:p>
            <w:pPr>
              <w:pStyle w:val="TableContents"/>
              <w:bidi w:val="0"/>
              <w:spacing w:before="0" w:after="283"/>
              <w:jc w:val="left"/>
              <w:rPr/>
            </w:pPr>
            <w:r>
              <w:rPr/>
              <w:t> </w:t>
            </w:r>
            <w:bookmarkStart w:id="441" w:name="xdx_403_eus-gaap--AccruedLiabilitiesCurr"/>
            <w:bookmarkEnd w:id="441"/>
          </w:p>
        </w:tc>
      </w:tr>
      <w:tr>
        <w:trPr/>
        <w:tc>
          <w:tcPr>
            <w:tcW w:w="354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1,115</w:t>
            </w:r>
          </w:p>
        </w:tc>
        <w:tc>
          <w:tcPr>
            <w:tcW w:w="75" w:type="dxa"/>
            <w:tcBorders/>
            <w:shd w:fill="CCEEFF" w:val="clear"/>
            <w:vAlign w:val="center"/>
          </w:tcPr>
          <w:p>
            <w:pPr>
              <w:pStyle w:val="TableContents"/>
              <w:bidi w:val="0"/>
              <w:spacing w:before="0" w:after="283"/>
              <w:jc w:val="left"/>
              <w:rPr/>
            </w:pPr>
            <w:r>
              <w:rPr/>
              <w:t> </w:t>
            </w:r>
            <w:bookmarkStart w:id="442" w:name="xdx_403_ecustom--IssuanceCostsNotYetPaid"/>
            <w:bookmarkEnd w:id="442"/>
          </w:p>
        </w:tc>
      </w:tr>
      <w:tr>
        <w:trPr/>
        <w:tc>
          <w:tcPr>
            <w:tcW w:w="3545" w:type="dxa"/>
            <w:tcBorders/>
            <w:shd w:fill="FFFFFF" w:val="clear"/>
            <w:vAlign w:val="center"/>
          </w:tcPr>
          <w:p>
            <w:pPr>
              <w:pStyle w:val="TableContents"/>
              <w:bidi w:val="0"/>
              <w:spacing w:before="0" w:after="283"/>
              <w:jc w:val="left"/>
              <w:rPr/>
            </w:pPr>
            <w:r>
              <w:rPr/>
              <w:t>Issuance costs not yet paid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43" w:name="xdx_400_ecustom--ClinicalTrialAccrualCur"/>
            <w:bookmarkEnd w:id="443"/>
          </w:p>
        </w:tc>
      </w:tr>
      <w:tr>
        <w:trPr/>
        <w:tc>
          <w:tcPr>
            <w:tcW w:w="3545" w:type="dxa"/>
            <w:tcBorders/>
            <w:shd w:fill="CCEEFF" w:val="clear"/>
            <w:vAlign w:val="center"/>
          </w:tcPr>
          <w:p>
            <w:pPr>
              <w:pStyle w:val="TableContents"/>
              <w:bidi w:val="0"/>
              <w:spacing w:before="0" w:after="283"/>
              <w:jc w:val="left"/>
              <w:rPr/>
            </w:pPr>
            <w:r>
              <w:rPr/>
              <w:t>Clinical trial accrual</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744</w:t>
            </w:r>
          </w:p>
        </w:tc>
        <w:tc>
          <w:tcPr>
            <w:tcW w:w="75" w:type="dxa"/>
            <w:tcBorders/>
            <w:shd w:fill="CCEEFF" w:val="clear"/>
            <w:vAlign w:val="center"/>
          </w:tcPr>
          <w:p>
            <w:pPr>
              <w:pStyle w:val="TableContents"/>
              <w:bidi w:val="0"/>
              <w:spacing w:before="0" w:after="283"/>
              <w:jc w:val="left"/>
              <w:rPr/>
            </w:pPr>
            <w:r>
              <w:rPr/>
              <w:t> </w:t>
            </w:r>
            <w:bookmarkStart w:id="444" w:name="xdx_409_ecustom--AccruedOperatingLeaseLi"/>
            <w:bookmarkEnd w:id="444"/>
          </w:p>
        </w:tc>
      </w:tr>
      <w:tr>
        <w:trPr/>
        <w:tc>
          <w:tcPr>
            <w:tcW w:w="3545" w:type="dxa"/>
            <w:tcBorders/>
            <w:shd w:fill="FFFFFF" w:val="clear"/>
            <w:vAlign w:val="center"/>
          </w:tcPr>
          <w:p>
            <w:pPr>
              <w:pStyle w:val="TableContents"/>
              <w:bidi w:val="0"/>
              <w:spacing w:before="0" w:after="283"/>
              <w:jc w:val="left"/>
              <w:rPr/>
            </w:pPr>
            <w:r>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557</w:t>
            </w:r>
          </w:p>
        </w:tc>
        <w:tc>
          <w:tcPr>
            <w:tcW w:w="75" w:type="dxa"/>
            <w:tcBorders/>
            <w:shd w:fill="FFFFFF" w:val="clear"/>
            <w:vAlign w:val="center"/>
          </w:tcPr>
          <w:p>
            <w:pPr>
              <w:pStyle w:val="TableContents"/>
              <w:bidi w:val="0"/>
              <w:spacing w:before="0" w:after="283"/>
              <w:jc w:val="left"/>
              <w:rPr/>
            </w:pPr>
            <w:r>
              <w:rPr/>
              <w:t> </w:t>
            </w:r>
            <w:bookmarkStart w:id="445" w:name="xdx_406_eus-gaap--OtherAccruedLiabilitie"/>
            <w:bookmarkEnd w:id="445"/>
          </w:p>
        </w:tc>
      </w:tr>
      <w:tr>
        <w:trPr/>
        <w:tc>
          <w:tcPr>
            <w:tcW w:w="354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190</w:t>
            </w:r>
          </w:p>
        </w:tc>
        <w:tc>
          <w:tcPr>
            <w:tcW w:w="75" w:type="dxa"/>
            <w:tcBorders/>
            <w:shd w:fill="CCEEFF" w:val="clear"/>
            <w:vAlign w:val="center"/>
          </w:tcPr>
          <w:p>
            <w:pPr>
              <w:pStyle w:val="TableContents"/>
              <w:bidi w:val="0"/>
              <w:spacing w:before="0" w:after="283"/>
              <w:jc w:val="left"/>
              <w:rPr/>
            </w:pPr>
            <w:r>
              <w:rPr/>
              <w:t> </w:t>
            </w:r>
            <w:bookmarkStart w:id="446" w:name="xdx_40D_eus-gaap--AccountsPayableOtherCu"/>
            <w:bookmarkEnd w:id="446"/>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Accruals - Other</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0" w:type="dxa"/>
            <w:tcBorders>
              <w:bottom w:val="double" w:sz="6" w:space="0" w:color="000000"/>
            </w:tcBorders>
            <w:shd w:fill="FFFFFF" w:val="clear"/>
            <w:tcMar>
              <w:bottom w:w="28" w:type="dxa"/>
            </w:tcMar>
            <w:vAlign w:val="center"/>
          </w:tcPr>
          <w:p>
            <w:pPr>
              <w:pStyle w:val="TableContents"/>
              <w:bidi w:val="0"/>
              <w:spacing w:before="0" w:after="283"/>
              <w:jc w:val="right"/>
              <w:rPr/>
            </w:pPr>
            <w:r>
              <w:rPr/>
              <w:t>6,038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bottom w:w="28" w:type="dxa"/>
            </w:tcMar>
            <w:vAlign w:val="center"/>
          </w:tcPr>
          <w:p>
            <w:pPr>
              <w:pStyle w:val="TableContents"/>
              <w:bidi w:val="0"/>
              <w:spacing w:before="0" w:after="283"/>
              <w:jc w:val="right"/>
              <w:rPr/>
            </w:pPr>
            <w:r>
              <w:rPr/>
              <w:t>5,081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47" w:name="xdx_8A5_z5hwWtjtNe31"/>
      <w:bookmarkEnd w:id="447"/>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48" w:name="xdx_802_eus-gaap--SegmentReportingDisclo"/>
      <w:bookmarkEnd w:id="448"/>
      <w:r>
        <w:rPr>
          <w:rFonts w:ascii="Times New Roman;Times;Serif" w:hAnsi="Times New Roman;Times;Serif"/>
          <w:b/>
          <w:i w:val="false"/>
          <w:caps w:val="false"/>
          <w:smallCaps w:val="false"/>
          <w:sz w:val="20"/>
        </w:rPr>
        <w:t xml:space="preserve">NOTE 12 - </w:t>
      </w:r>
      <w:bookmarkStart w:id="449" w:name="xdx_82A_ziLHjBCwNgL5"/>
      <w:bookmarkEnd w:id="449"/>
      <w:r>
        <w:rPr>
          <w:rFonts w:ascii="Times New Roman;Times;Serif" w:hAnsi="Times New Roman;Times;Serif"/>
          <w:b/>
          <w:i w:val="false"/>
          <w:caps w:val="false"/>
          <w:smallCaps w:val="false"/>
          <w:sz w:val="20"/>
        </w:rPr>
        <w:t>DISAGGREGATED REVENUE AND ENTITY WIDE DISCLOSURES</w:t>
      </w:r>
      <w:r>
        <w:rPr>
          <w:rFonts w:ascii="Times New Roman;Times;Serif" w:hAnsi="Times New Roman;Times;Serif"/>
          <w:b w:val="false"/>
          <w:i w:val="false"/>
          <w:caps w:val="false"/>
          <w:smallCaps w:val="false"/>
          <w:sz w:val="20"/>
        </w:rPr>
        <w: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50" w:name="xdx_89F_eus-gaap--ScheduleOfRevenueFromE"/>
      <w:bookmarkEnd w:id="450"/>
      <w:r>
        <w:rPr>
          <w:rFonts w:ascii="Times New Roman;Times;Serif" w:hAnsi="Times New Roman;Times;Serif"/>
          <w:b w:val="false"/>
          <w:i w:val="false"/>
          <w:caps w:val="false"/>
          <w:smallCaps w:val="false"/>
          <w:sz w:val="20"/>
        </w:rPr>
        <w:t>Revenues are attributed to geographic areas based on the location of the customers. The following is a summary of revenues:</w:t>
      </w:r>
    </w:p>
    <w:p>
      <w:pPr>
        <w:pStyle w:val="TextBody"/>
        <w:bidi w:val="0"/>
        <w:spacing w:before="0" w:after="0"/>
        <w:ind w:left="1134" w:right="0" w:hanging="0"/>
        <w:jc w:val="both"/>
        <w:rPr>
          <w:caps w:val="false"/>
          <w:smallCaps w:val="false"/>
        </w:rPr>
      </w:pPr>
      <w:r>
        <w:rPr>
          <w:caps w:val="false"/>
          <w:smallCaps w:val="false"/>
        </w:rPr>
        <w:t> </w:t>
      </w:r>
      <w:bookmarkStart w:id="451" w:name="xdx_8BC_z0WENc58BK4d"/>
      <w:bookmarkEnd w:id="451"/>
      <w:r>
        <w:rPr>
          <w:rFonts w:ascii="Times New Roman;Times;Serif" w:hAnsi="Times New Roman;Times;Serif"/>
          <w:b w:val="false"/>
          <w:i w:val="false"/>
          <w:caps w:val="false"/>
          <w:smallCaps w:val="false"/>
          <w:sz w:val="20"/>
        </w:rPr>
        <w:t>SCHEDULE OF REVENUES ATTRIBUTED TO GEOGRAPHIC AREAS</w:t>
      </w:r>
    </w:p>
    <w:tbl>
      <w:tblPr>
        <w:tblW w:w="4449" w:type="dxa"/>
        <w:jc w:val="left"/>
        <w:tblInd w:w="0" w:type="dxa"/>
        <w:tblLayout w:type="fixed"/>
        <w:tblCellMar>
          <w:top w:w="0" w:type="dxa"/>
          <w:left w:w="0" w:type="dxa"/>
          <w:bottom w:w="0" w:type="dxa"/>
          <w:right w:w="0" w:type="dxa"/>
        </w:tblCellMar>
      </w:tblPr>
      <w:tblGrid>
        <w:gridCol w:w="890"/>
        <w:gridCol w:w="60"/>
        <w:gridCol w:w="165"/>
        <w:gridCol w:w="642"/>
        <w:gridCol w:w="79"/>
        <w:gridCol w:w="79"/>
        <w:gridCol w:w="165"/>
        <w:gridCol w:w="642"/>
        <w:gridCol w:w="60"/>
        <w:gridCol w:w="60"/>
        <w:gridCol w:w="143"/>
        <w:gridCol w:w="555"/>
        <w:gridCol w:w="68"/>
        <w:gridCol w:w="68"/>
        <w:gridCol w:w="143"/>
        <w:gridCol w:w="555"/>
        <w:gridCol w:w="75"/>
      </w:tblGrid>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52" w:name="xdx_490_20240401__20240630_z9qfF6BwKeug"/>
            <w:bookmarkEnd w:id="452"/>
          </w:p>
        </w:tc>
        <w:tc>
          <w:tcPr>
            <w:tcW w:w="80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bookmarkStart w:id="453" w:name="xdx_49C_20230401__20230630_z91ilfEOZbe9"/>
            <w:bookmarkEnd w:id="453"/>
          </w:p>
        </w:tc>
        <w:tc>
          <w:tcPr>
            <w:tcW w:w="80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54" w:name="xdx_492_20240101__20240630_zfPx1t34guC2"/>
            <w:bookmarkEnd w:id="454"/>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bookmarkStart w:id="455" w:name="xdx_492_20230101__20230630_zLHOPxuAe3Tb"/>
            <w:bookmarkEnd w:id="455"/>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2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807"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9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56" w:name="xdx_40E_eus-gaap--RevenueFromContractWit"/>
            <w:bookmarkEnd w:id="456"/>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7" w:name="xdx_40C_eus-gaap--RevenueFromContractWit"/>
            <w:bookmarkEnd w:id="457"/>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8" w:name="xdx_40D_eus-gaap--RevenueFromContractWit"/>
            <w:bookmarkEnd w:id="458"/>
          </w:p>
        </w:tc>
      </w:tr>
      <w:tr>
        <w:trPr/>
        <w:tc>
          <w:tcPr>
            <w:tcW w:w="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9" w:name="xdx_402_eus-gaap--RevenueFromContractWit"/>
            <w:bookmarkEnd w:id="459"/>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bookmarkStart w:id="460" w:name="xdx_F4A_zDZ9TC2abOT6"/>
            <w:bookmarkEnd w:id="460"/>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1,784</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61" w:name="xdx_404_eus-gaap--RevenueFromContractWit"/>
            <w:bookmarkEnd w:id="461"/>
          </w:p>
        </w:tc>
      </w:tr>
      <w:tr>
        <w:trPr/>
        <w:tc>
          <w:tcPr>
            <w:tcW w:w="89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25"/>
        <w:gridCol w:w="635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Times New Roman;Times;Serif" w:hAnsi="Times New Roman;Times;Serif"/>
                <w:sz w:val="20"/>
              </w:rPr>
            </w:pPr>
            <w:bookmarkStart w:id="462" w:name="xdx_F0F_zsTiB45f7v3g"/>
            <w:bookmarkEnd w:id="462"/>
            <w:r>
              <w:rPr>
                <w:rFonts w:ascii="Times New Roman;Times;Serif" w:hAnsi="Times New Roman;Times;Serif"/>
                <w:sz w:val="20"/>
              </w:rPr>
              <w:t>*</w:t>
            </w:r>
          </w:p>
        </w:tc>
        <w:tc>
          <w:tcPr>
            <w:tcW w:w="6350" w:type="dxa"/>
            <w:tcBorders/>
            <w:vAlign w:val="center"/>
          </w:tcPr>
          <w:p>
            <w:pPr>
              <w:pStyle w:val="TableContents"/>
              <w:bidi w:val="0"/>
              <w:spacing w:before="0" w:after="283"/>
              <w:jc w:val="both"/>
              <w:rPr>
                <w:rFonts w:ascii="Times New Roman;Times;Serif" w:hAnsi="Times New Roman;Times;Serif"/>
                <w:sz w:val="20"/>
              </w:rPr>
            </w:pPr>
            <w:bookmarkStart w:id="463" w:name="xdx_F10_zsIvFOHa2jDc"/>
            <w:bookmarkEnd w:id="463"/>
            <w:r>
              <w:rPr>
                <w:rFonts w:ascii="Times New Roman;Times;Serif" w:hAnsi="Times New Roman;Times;Serif"/>
                <w:sz w:val="20"/>
              </w:rPr>
              <w:t>No single country included in other generated more than 10% of total revenue</w:t>
            </w:r>
          </w:p>
        </w:tc>
      </w:tr>
    </w:tbl>
    <w:p>
      <w:pPr>
        <w:pStyle w:val="TextBody"/>
        <w:bidi w:val="0"/>
        <w:spacing w:before="0" w:after="0"/>
        <w:ind w:left="0" w:right="0" w:firstLine="1080"/>
        <w:jc w:val="both"/>
        <w:rPr>
          <w:caps w:val="false"/>
          <w:smallCaps w:val="false"/>
        </w:rPr>
      </w:pPr>
      <w:bookmarkStart w:id="464" w:name="xdx_8AD_z1GFW81HvY7a"/>
      <w:bookmarkEnd w:id="464"/>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bookmarkStart w:id="465" w:name="xdx_89B_eus-gaap--ScheduleOfRevenueByMaj"/>
      <w:bookmarkEnd w:id="465"/>
      <w:r>
        <w:rPr>
          <w:rFonts w:ascii="Times New Roman;Times;Serif" w:hAnsi="Times New Roman;Times;Serif"/>
          <w:b w:val="false"/>
          <w:i w:val="false"/>
          <w:caps w:val="false"/>
          <w:smallCaps w:val="false"/>
          <w:sz w:val="20"/>
        </w:rPr>
        <w:t>By principal customers:</w:t>
      </w:r>
    </w:p>
    <w:p>
      <w:pPr>
        <w:pStyle w:val="TextBody"/>
        <w:bidi w:val="0"/>
        <w:spacing w:before="0" w:after="0"/>
        <w:jc w:val="left"/>
        <w:rPr>
          <w:caps w:val="false"/>
          <w:smallCaps w:val="false"/>
        </w:rPr>
      </w:pPr>
      <w:r>
        <w:rPr>
          <w:caps w:val="false"/>
          <w:smallCaps w:val="false"/>
        </w:rPr>
        <w:t> </w:t>
      </w:r>
      <w:bookmarkStart w:id="466" w:name="xdx_8BA_zxebElLZ16Z2"/>
      <w:bookmarkEnd w:id="466"/>
      <w:r>
        <w:rPr>
          <w:rFonts w:ascii="Times New Roman;Times;Serif" w:hAnsi="Times New Roman;Times;Serif"/>
          <w:b/>
          <w:i w:val="false"/>
          <w:caps w:val="false"/>
          <w:smallCaps w:val="false"/>
          <w:sz w:val="20"/>
        </w:rPr>
        <w:t>SCHEDULE OF REVENUES ATTRIBUTED TO GEOGRAPHIC AREAS BY PRINCIPAL CUSTOMERS</w:t>
      </w:r>
    </w:p>
    <w:tbl>
      <w:tblPr>
        <w:tblW w:w="4554" w:type="dxa"/>
        <w:jc w:val="left"/>
        <w:tblInd w:w="0" w:type="dxa"/>
        <w:tblLayout w:type="fixed"/>
        <w:tblCellMar>
          <w:top w:w="0" w:type="dxa"/>
          <w:left w:w="0" w:type="dxa"/>
          <w:bottom w:w="0" w:type="dxa"/>
          <w:right w:w="0" w:type="dxa"/>
        </w:tblCellMar>
      </w:tblPr>
      <w:tblGrid>
        <w:gridCol w:w="995"/>
        <w:gridCol w:w="60"/>
        <w:gridCol w:w="103"/>
        <w:gridCol w:w="680"/>
        <w:gridCol w:w="103"/>
        <w:gridCol w:w="103"/>
        <w:gridCol w:w="103"/>
        <w:gridCol w:w="680"/>
        <w:gridCol w:w="60"/>
        <w:gridCol w:w="60"/>
        <w:gridCol w:w="89"/>
        <w:gridCol w:w="588"/>
        <w:gridCol w:w="89"/>
        <w:gridCol w:w="89"/>
        <w:gridCol w:w="89"/>
        <w:gridCol w:w="588"/>
        <w:gridCol w:w="75"/>
      </w:tblGrid>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67" w:name="xdx_499_20240401__20240630_zkycWIpdv3tb"/>
            <w:bookmarkEnd w:id="467"/>
          </w:p>
        </w:tc>
        <w:tc>
          <w:tcPr>
            <w:tcW w:w="7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bookmarkStart w:id="468" w:name="xdx_495_20230401__20230630_zXaWDXOb6VVl"/>
            <w:bookmarkEnd w:id="468"/>
          </w:p>
        </w:tc>
        <w:tc>
          <w:tcPr>
            <w:tcW w:w="7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69" w:name="xdx_498_20240101__20240630_z9zXxaNTvE06"/>
            <w:bookmarkEnd w:id="469"/>
          </w:p>
        </w:tc>
        <w:tc>
          <w:tcPr>
            <w:tcW w:w="6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bookmarkStart w:id="470" w:name="xdx_49F_20230101__20230630_zMdTx0B3OGza"/>
            <w:bookmarkEnd w:id="470"/>
          </w:p>
        </w:tc>
        <w:tc>
          <w:tcPr>
            <w:tcW w:w="6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471" w:name="xdx_40C_eus-gaap--ConcentrationRiskPerce"/>
            <w:bookmarkEnd w:id="471"/>
          </w:p>
        </w:tc>
      </w:tr>
      <w:tr>
        <w:trPr/>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72" w:name="xdx_40E_eus-gaap--ConcentrationRiskPerce"/>
            <w:bookmarkEnd w:id="472"/>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73" w:name="xdx_40D_eus-gaap--ConcentrationRiskPerce"/>
            <w:bookmarkEnd w:id="473"/>
          </w:p>
        </w:tc>
      </w:tr>
      <w:tr>
        <w:trPr/>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bookmarkStart w:id="474" w:name="xdx_8A3_zr2SQUutAsP3"/>
      <w:bookmarkEnd w:id="474"/>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substantially tangible long lived assets are located in Israel.</w:t>
      </w:r>
    </w:p>
    <w:p>
      <w:pPr>
        <w:pStyle w:val="TextBody"/>
        <w:bidi w:val="0"/>
        <w:spacing w:before="0" w:after="0"/>
        <w:jc w:val="left"/>
        <w:rPr>
          <w:caps w:val="false"/>
          <w:smallCaps w:val="false"/>
        </w:rPr>
      </w:pPr>
      <w:bookmarkStart w:id="475" w:name="xdx_818_zHvmXqQdsW23"/>
      <w:bookmarkEnd w:id="47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6" w:name="bs_002"/>
      <w:bookmarkEnd w:id="476"/>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accompanying condensed consolidated financial statements and related notes included elsewhere in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requires otherwise, references in this Form 10-Q to the “Company,” “InspireMD,” “we,” “our” and “us” refer to InspireMD,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which include information relating to future events, future financial performance, strategies, expectations, competitive environment and regulation, including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may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recurring losses and negative cash flows from operating activities, significant future commitments and the uncertainty regarding the adequacy of our liquidity to pursue our complete business objectives;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raise additional capital to meet our business requirements in the future and such capital raising may be costly or difficult to obtain and could dilute out stockholders’ ownership interests;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and maintain regulatory approvals for the sale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clinical trial results or lengthy product delays in key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the Nasdaq listing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revenues from our products and obtain and maintain regulatory approvals for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our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 single manufacturing facility and our ability to comply with stringent manufacturing quality standards and to increase production as necessary;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data collected from our current and planned clinical trials may not be sufficient to demonstrate that our technology is an attractive alternative to other procedures and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intense competition in our industry, with competitors having substantially greater financial, technological, research and development, regulatory and clinical, manufacturing, marketing and sales, distribution and personnel resources than we do;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of new competitors and products and potential technological obsolescence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carry out research, development and commercialization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 key customer or supplier;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problems with our research and products and potential product liability claims;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malfunctions;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increases for supplies and components;</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or inadequate reimbursement by governmental and other third-party payers for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successfully obtain and maintain intellectual property protection covering our products,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federal, state and local government regulation, in the United States, Europe or Israel and other foreign jurisdictions;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political and economic instability in the Middle East that could harm our business, including due to the current war between Israel and Hamas;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or future unfavorable economic and market conditions and adverse developments with respect to financial institutions and associated liquidity risk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For a discussion of these and other risks that relate to our business and investing in our common stock, you should carefully review the risks and uncertainties described in this Quarterly Report on Form 10-Q, and those described from time to time in our future reports filed with the Securities and Exchange Commission. The forward-looking statements contained in this Quarterly Report on Form 10-Q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medical device company focusing on the development and commercialization of our proprietary MicroNet™ stent platform for the treatment of carotid artery disease and other vascular disease. A stent is an expandable “scaffold-like” device, usually constructed of a metallic material, that is inserted into the lumen of the artery to create patency and revascularization of blood flow. MicroNet, a micron mesh sleeve, is attached over a stent to provide embolic protection both during and after stenting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CGuard™ carotid embolic prevention system (“CGuard EPS”) combines MicroNet and a unique self-expandable nitinol stent in a single device for use in carotid artery revascularization. Our CGuard EPS originally received CE mark approval under Medical Device Directive 93/42/EEC (“MDD”) in the European Union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regulatory framework. Currently, we are seeking strategic partners for a potential launch of CGuard EPS in Japan and other Asian countries.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2020, we received approval from the U.S. Food and Drug Administration (“FDA”) of our Investigation Device Exemption (“IDE”), thereby allowing us to proceed with a pivotal study of our CGuard™ Carotid Stent System, C-GUARDIANS, for prevention of stroke in patients in the United States. C-GUARDIANS is a prospective, multicenter, single-arm, pivotal study to evaluate the safety and efficacy of the CGuard™ Carotid Stent System when used to treat symptomatic and asymptomatic carotid artery stenosis in patients undergoing carotid artery stenting (“CAS”). The study, which completed enrollment in June 2023, enrolled 316 patients across 24 trial sites in the U.S. and Europe and from April 2023 included deployment of the CGuard stent using CGuard Prime, our next generation CAS stent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are considered industry standard. The performance goal was considered met if the upper bound of the two-sided 95% confidence interval calculated from the observed primary endpoint rate is &lt; 11.6% and the p-value is less than 0.025.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We anticipate reporting primary endpoint results from the C-GUARDIANS trial at the end of May 2024 that may support the submission of a premarket approval, or PMA, application in the third quarter of 2024 with a view to potential FDA approval of the CGuard Prime stent system in the first half of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2024, we announced positive one-year follow up results from the C-GUARDIANS trial in which stenting with the CGuard Carotid Stent System in patients with carotid artery stenosis and at high risk for carotid endarterectomy had a 30-day DSMI and Ipsilateral stroke between 31 and 365 days rate of 1.95% measured from procedure to 1-year follow-up.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system, SwitchGuard™ neuroprotection system (“SwitchGuard NPS”), for transcarotid access and neuro protection. In addition, we intend to explore new indications for CGuard to leverage the advantages of stent design and mesh protection, well suited in labels such as acute stroke with tandem lesions.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current addressable market for our CGuard Carotid Stent System and SwitchGuard NPS to be both symptomatic and asymptomatic individuals with diagnosed high-grade carotid artery stenosis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Centers for Medicare and Medicaid Service (“CMS”) issued its final National Coverage Determination (“NCD”), expanding coverage of CAS to include both asymptomatic and standard risk patients, significantly expanding the U.S. CAS addressable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offer a comprehensive set of delivery solutions (TCAR and Transfemoral) in order to deliver best in class results through patient outcomes by way of stent performance with CGuard Carotid Stent System and SwitchGuard NPS.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organized in the State of Delaware on February 29, 2008.</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One Year Results from the U.S. Investigational Device Exemption (IDE)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2024, we announced positive one-year follow up results from the C-GUARDIANS trial of the CGuard™ Carotid Stent Systemin which stenting with the CGuard Carotid Stent System in patients with carotid artery stenosis and at high risk for carotid endarterectomy had a 30-day DSMI and Ipsilateral stroke between 31 and 365 days rate of 1.95%, measured from procedure to 1-year follow-up.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Series H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announcement of the one year follow up study results from the Company’s C-GUARDIANS trial,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 The Series H warrants, each exercisable at $1.3827 per common share and $1.3826 per pre-funded warrant, were issued as part of the private placement financing that the Company consummated on May 15,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Lebanon (with the Hezbollah terror organization) and southern border (with the Houthi movement in Yemen). It is possible that hostilities with Hezbollah in Lebanon will escalate, and that other terrorist organizations, including Palestinian military organizations in the West Bank as well as other hostile countries will join the hostilities. In addition, Iran recently launched a direct attack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Such clashes may escalate in the future into a greater regional conflict. We cannot currently predict the intensity or duration of Israel’s war against Hamas, nor can we predict how this war will ultimately affect our business and operations or Israel’s economy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Our critical accounting policies are more fully described in both (i) “Item 7. Management’s Discussion and Analysis of Financial Condition and Results of Operations” and (ii) Note 2 of the Notes to the Consolidated Financial Statements included in the Annual Report on Form 10-K for the year ended December 31, 2023. There have not been any material changes to such critical accounting policies since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the primary economic environment in which our operations are conducted is the U.S. dollar (“$” or “dollar”).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June 30, 2024, compared to the three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three months ended June 30, 2024, revenue increased by $90,000, or 5.4%, to $1,739,000, from $1,649,000 during the three months ended June 30, 2023. This increase was predominantly driven by growth in existing and new markets, partially offset by a reduction in clinical trial revenue driven by the conclusion of C-GUARDIANS enrollment in June 2023.</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the increase in revenue was primarily attributable to a $303,000 increase in Europe for reasons mentioned in the paragraph above. This increase was offset by a $87,000 decrease in Latin America a $80,000 decrease in Asia due to timing of shipment of orders, and a $45,000 decrease in the United States as we completed in June 2023 the enrollment of all patients in our C-Guardians IDE clinical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For the three months ended June 30, 2024, gross profit (revenue less cost of revenues) decreased by $160,000, or 32.6%, to $331,000, from $491,000 during the three months ended June 30, 2023. This decrease in gross profit resulted from a $237,000 increase in material and labor costs mainly due to higher sales volume as well as compensation expense for new and current employees, additional space to build capacity for anticipated increased volume requirements and additional training expenses offset by an increase of the revenues of $90,000 (see above), and an increase $13,000 in miscellaneous expense. Gross margin (gross profits as a percentage of revenue) decreased to 19.0% during the three months ended June 30, 2024, from 29.8% during the three months ended June 30, 2023, driven by the factors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three months ended June 30, 2024, research and development expenses increased by $1,408,000, or 70.6%, to $3,401,000, from $1,993,000 during the three months ended June 30, 2023. This increase resulted primarily from an increase in compensation expenses of $741,000, mainly due to an increase of share-based compensation-related expenses due to the expense recognition of grants made to employees and consultants since the second quarter of 2023 and due to the hiring of the Executive Vice President and General Manager of North America in connection with our expansion plans in the United States, an increase of $427,000 of SwitchGuard NPS development and regulatory approval process, an increase of $82,000 related to the establishment of operations in the United States, an increase of $77,000 related to an early feasibility study of CGuard Prime for the treatment of acute stroke patients with tandem lesions and an increase of $81,000 in miscellaneous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three months ended June 30, 2024, selling and marketing expenses increased by $553,000, or 62.0%, to $1,445,000, from $892,000 during the three months ended June 30, 2023. This increase resulted primarily from an increase in compensation expenses of $469,000 and an increase of $84,000 in miscellaneous expenses.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three months ended June 30, 2024, general and administrative expenses increased by $824,000, or 28.2%, to $3,745,000, from $2,921,000 during the three months ended June 30, 2023. This increase resulted primarily from an increase in compensation expenses of $993,000, mainly due to an increase of share-based compensation-related expenses due to the expense recognition of grants made during the second quarter of 2023 and the first quarter of 2024, offset by a decrease of $92,000 in legal expenses and a $77,000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three months ended June 30, 2024, financial income increased by $113,000 or 47.5%, to $351,000, from $238,000 during the three months ended June 30, 2023. The increase in financial income primarily resulted from a $123,000 increase in interest income from investment in marketable securities, money market funds and short-term bank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three months ended June 30, 2024, there was no material change in our tax expenses as compared to the three months ended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Our net loss increased by $2,832,000, or 55.8%, to $7,909,000, for the three months ended June 30, 2024, from $5,077,000 during the three months ended June 30, 2023. The increase in net loss resulted primarily from an increase of $2,785,000 in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June 30, 2024, compared to the six months ended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w:t>
      </w:r>
      <w:r>
        <w:rPr>
          <w:rFonts w:ascii="Times New Roman;Times;Serif" w:hAnsi="Times New Roman;Times;Serif"/>
          <w:b w:val="false"/>
          <w:i w:val="false"/>
          <w:caps w:val="false"/>
          <w:smallCaps w:val="false"/>
          <w:sz w:val="20"/>
        </w:rPr>
        <w:t>. For the six months ended June 30, 2024, revenue increased by $362,000, or 12.5%, to $3,250,000, from $2,888,000 during the six months ended June 30, 2023. This sales increase was mainly due to growth in existing and new markets, partially offset by a reduction in clinical trial revenue driven by the conclusion of C-GUARDIANS enrollment in June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geographical regions, the increase in revenue was primarily attributable to a $472,000 increase in Europe, a $28,000 increase in Latin America and a $8,000 increase in other territories for reasons mentioned above. This increase was offset by a $104,000 decrease in the United States as we completed in June 2023 the enrollment of all patients in our C-Guardians IDE clinical trial, a $30,000 decrease in Asia and a $12,000 decrease in other territories.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Profit</w:t>
      </w:r>
      <w:r>
        <w:rPr>
          <w:rFonts w:ascii="Times New Roman;Times;Serif" w:hAnsi="Times New Roman;Times;Serif"/>
          <w:b w:val="false"/>
          <w:i w:val="false"/>
          <w:caps w:val="false"/>
          <w:smallCaps w:val="false"/>
          <w:sz w:val="20"/>
        </w:rPr>
        <w:t>. For the six months ended June 30, 2024, gross profit (revenue less cost of revenues) decreased by 27.9%, or $241,000, to $623,000, compared to a $864,000 for the same period in 2023. This decrease in gross profit resulted from a $585,000 increase in material and labor costs mainly due to higher sales volume as well as compensation expense for new and current employees, additional space to build capacity for anticipated increased volume requirements and additional training expenses offset by an increase of the revenues of $362,000 (see above), and an increase $18,000 in miscellaneous expense. Gross margin (gross profits as a percentage of revenue) decreased to 19.2% during the three months ended June 30, 2024, from 29.9% during the three months ended June 30, 2023, driven by the factors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For the six months ended June 30, 2024, research and development expenses increased by 57.1%, or $2,190,000 to $6,026,000, from $3,836,000 during the six months ended June 30, 2023. This increase resulted primarily from an increase in compensation expenses of $1,364,000, mainly due to an increase of share-based compensation-related expenses due to the expense recognition of grants made to employees and consultants since the second quarter of 2023 and due to the hiring of the Executive Vice President and General Manager of North America in connection with our expansion plans in the United States, an increase of $501,000 of SwitchGuard NPS development and regulatory approval process, an increase of $235,000 related to an early feasibility study of CGuard Prime for the treatment of acute stroke patients with tandem lesions, an increase of $99,000 related to the establishment of operations in the United States, offset by a decrease of $9,000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w:t>
      </w:r>
      <w:r>
        <w:rPr>
          <w:rFonts w:ascii="Times New Roman;Times;Serif" w:hAnsi="Times New Roman;Times;Serif"/>
          <w:b w:val="false"/>
          <w:i w:val="false"/>
          <w:caps w:val="false"/>
          <w:smallCaps w:val="false"/>
          <w:sz w:val="20"/>
        </w:rPr>
        <w:t>. For the six months ended June 30, 2024, selling and marketing expenses increased by 59.6%, or $1,002,000, to $2,682,000, from $1,680,000 during the six months ended June 30, 2023. This increase resulted primarily from an increase in compensation expenses of $850,000 and an increase of $152,000 in miscellaneous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For the six months ended June 30, 2024, general and administrative expenses increased by 50.5%, or $2,545,000, to $7,589,000, from $5,044,000 during the six months ended June 30, 2023. This increase resulted primarily from an increase in compensation expenses of $2,674,000, mainly due to an increase of share-based compensation-related expenses due to the expense recognition of grants made during the second quarter of 2023 and the first quarter of 2024, offset by a decrease of $129,000 in miscellaneous expenses.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Income</w:t>
      </w:r>
      <w:r>
        <w:rPr>
          <w:rFonts w:ascii="Times New Roman;Times;Serif" w:hAnsi="Times New Roman;Times;Serif"/>
          <w:b w:val="false"/>
          <w:i w:val="false"/>
          <w:caps w:val="false"/>
          <w:smallCaps w:val="false"/>
          <w:sz w:val="20"/>
        </w:rPr>
        <w:t>. For the six months ended June 30, 2024, financial income increased by $370,000, to $733,000 of financial income, from $363,000 of financial income during the six months ended June 30, 2023. The increase in financial income primarily resulted from a $387,000 increase in interest income from investment in marketable securities, money market funds and short-term bank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Expenses.</w:t>
      </w:r>
      <w:r>
        <w:rPr>
          <w:rFonts w:ascii="Times New Roman;Times;Serif" w:hAnsi="Times New Roman;Times;Serif"/>
          <w:b w:val="false"/>
          <w:i w:val="false"/>
          <w:caps w:val="false"/>
          <w:smallCaps w:val="false"/>
          <w:sz w:val="20"/>
        </w:rPr>
        <w:t xml:space="preserve"> For the six months ended June 30, 2024, there was no material change in our tax expenses as compared to the six months ended June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w:t>
      </w:r>
      <w:r>
        <w:rPr>
          <w:rFonts w:ascii="Times New Roman;Times;Serif" w:hAnsi="Times New Roman;Times;Serif"/>
          <w:b w:val="false"/>
          <w:i w:val="false"/>
          <w:caps w:val="false"/>
          <w:smallCaps w:val="false"/>
          <w:sz w:val="20"/>
        </w:rPr>
        <w:t>. Our net loss increased by $5,608,000, or 60.1%, to $14,941,000, for the six months ended June 30, 2024, from $9,333,000 during the six months ended June 30, 2023. The increase in net loss resulted primarily from an increase of $5,737,000 in operating expenses and decrease of $241,000 in gross profit, offset by an increase of $370,000 in financial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have the ability to fund our planned operations for at least the next 12 months from issuance date of the financial statement. However, we expect to continue incurring losses and negative cash flows from operations until our products (primarily CGuard™ EPS) reach commercial profitability. Therefore, in order to fund our operations until such time that we can generate substantial revenues, we may need to raise additional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include continued commercialization of our products and raising capital through sale of additional equity securities, debt or capital inflows from strategic partnerships. There are no assurances, however, that we will be successful in obtaining the level of financing needed for our operations. If we are unsuccessful in commercializing our products or raising capital, we may need to reduce activities, curtail or cease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closed a private placement offering of 10,266,270 shares (the “Private Placement Shares”) of our common stock, pre-funded warrants (the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12,914,086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 that resulted in aggregate gross proceeds of approximately $42.2 million, before deducting fees payable to the placement agent and other offering expenses payable by us. If the Warrants issued in the private placement offering are exercised in cash in full this would result in an additional $71.4 million of gross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June 2024,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June 30, 2024 compared to the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At June 30, 2024, we had cash and cash equivalents of $28,385,000 and marketable securities of $18,778,000 as compared to cash and cash equivalents of $9,640,000 and marketable securities of $29,383,000 as of December 31, 2023. We have historically met our cash needs through a combination of issuing new shares, borrowing activities and product sales. Our cash requirements are generally for research and development, marketing and sales activities, finance and administrative costs, capital expenditures and general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2024, net cash used in our operating activities increased by $1,262,000, or 15.5%, to $9,418,000, from $8,156,000 during the same period in 2023. The primary reason for the increase in cash used in our operating activities was an increase of $1,757,000 in payments for third party related expenses and for professional services, an increase of $874,000 in compensation costs paid during the six months ended June 30, 2024, from $5,312,000 in the six months ended June 30, 2023 to $6,186,000, offset in part by an increase of $1,254,000 in payments received from customers, and an increase of $115,000 in interest income received from money market funds and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in our investing activities was $10,323,000 during the Six months ended June 30, 2024, compared to cash used of $22,442,000 during the Six months ended June 30, 2023. The primary reason for the increase in cash provided by our investing activities is proceeds from matured marketable securities of $11,040,000, net of investment in marketable securities in the Six months ended June 30, 2024, compared to an investment in marketable securities of $28,838,000, offset by a withdrawal from short-term bank deposits, net of investment in short-term deposits, of $6,500,000 in the Six months ended June 30, 2023 and by an increase of $600,000 in payments made for purchase of property, plant and equipment during the Six months ended June 30, 2024.</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for the six months June 30, 2024, was $17,854,000. The source of the cash provided by financing activities during the six months ended June 30, 2024, were the proceeds from exercise of Series H warrants. Cash provided by financing activities for the six months June 30, 2023, was $37,534,000. The source of the cash provided by financing activities during the six months ended June 30, 2023, were the proceeds from the Private Placement Offering in May 2023 that resulted in approximately $37,534,000 of aggregate net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our current assets exceeded our current liabilities by a multiple of 7.4. Current assets increased by $7,684,000 during the period and current liabilities increased by $945,000 during the period. As a result, our working capital increased by $6,739,000 to $44,878,000 as of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That May Affect Future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operating results will continue to be subject to quarterly variations based upon a wide variety of factors, including the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2024, there were no material changes to our contractual obligations and commitments since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and Issued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 to our condensed financial statements in Part I, Item 1 of this Quarterly Report on Form 10-Q for new accounting pronouncements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bs_003"/>
      <w:bookmarkEnd w:id="477"/>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8" w:name="bs_004"/>
      <w:bookmarkEnd w:id="478"/>
      <w:r>
        <w:rPr>
          <w:rFonts w:ascii="Times New Roman;Times;Serif" w:hAnsi="Times New Roman;Times;Serif"/>
          <w:b/>
          <w:i w:val="false"/>
          <w:caps w:val="false"/>
          <w:smallCaps w:val="false"/>
          <w:sz w:val="20"/>
        </w:rPr>
        <w:t>Item 4.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Conclusions Regarding Effectiveness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conducted an evaluation, under the supervision and participation of management including our chief executive officer and chief financial officer, of the effectiveness of our disclosure controls and procedures (as defined in Rule 13a-15(e) and Rule 15d-15(e) of the Securities Exchange Act of 1934, as amended). There are inherent limitations to the effectiveness of any system of disclosure controls and procedures. Accordingly, even effective disclosure controls and procedures can only provide reasonable assurance of achieving their control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this evaluation, our chief executive officer and chief financial officer concluded that our disclosure controls and procedures are effective at the reasonable assurance level as of June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fiscal quarter ended June 30, 2024, that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79" w:name="bs_005"/>
      <w:bookmarkEnd w:id="479"/>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0" w:name="bs_006"/>
      <w:bookmarkEnd w:id="480"/>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1" w:name="bs_007"/>
      <w:bookmarkEnd w:id="481"/>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1A and the Risk Factors included in our previous filings made with the SEC, there have been no material changes to our risk factors from those disclosed in “Part I. Item 1A. Risk Factors” in the Form 10-K filed with the SEC on March 5, 2024.</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there are significant shifts in the political, economic and military conditions in Israel and its neighbors, it could have a material adverse effect on our business relationships and profitability.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 sole manufacturing facility and certain of our key personnel are located in Israel. Our business is directly affected by the political, economic and military conditions in Israel and its neighbors. Since the establishment of the State of Israel in 1948, a number of armed conflicts have occurred between Israel and its Arab neighbors.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In addition, since the commencement of these events, there have been continued hostilities along Israel’s northern border with Lebanon (with the Hezbollah terror organization) and southern border (with the Houthi movement in Yemen, as described below). It is possible that hostilities with Hezbollah in Lebanon will escalate, and that other terrorist organizations, including Palestinian military organizations in the West Bank as well as other hostile countries will join the hostilities. In addition, Iran recently launched a direct attack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Additionally, Yemeni rebel group, the Houthis, launched series of attacks on global shipping routes in the Red Sea, causing disruptions of supply chain. Such clashes may escalate in the future into a greater regional conflict.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Israeli security cabinet’s declaration of war against Hamas and possible hostilities with other organizations, several hundred thousand Israeli military reservists were drafted to perform immediate military service, including five full time employees in Israel of ours. Although many of such military reservists have since been released, including the majority of our employees, they may be called up for additional reserve duty, depending on developments in the war in Gaza and along Israel’s other borders. As of the date hereof, two of our non-management employees in Israel. Military service call ups that result in absences of personnel from us for an extended period of time may materially and adversely affect our business, prospects, financial condition and results of operations. As of the date hereof, we currently have 56 full-time employees located in Israel and 12 employees located outside of Israel.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war broke out on October 7, 2023, our operations have not been adversely affected by this situation, and we have not experienced disruptions to our clinical studies. None of the clinical sites currently participating in our clinical studies are located in Israel however we currently manufacture our CGuard at our facility in Tel Aviv, Israel. If there were a disruption to our existing manufacturing facility or our ability to procure raw materials and ship our products, we would have no other means of manufacturing and distributing CGuard until we were able to restore the manufacturing and distribution capability at our facility or develop alternative manufacturing facilities and distribution capabilities.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intensity and duration of Israel’s current war against Hamas is difficult to predict at this stage, as are such war’s economic implications on the Company’s business and operations and on Israel’s economy in general. If the war extends for a long period of time or expands to other fronts, such as Lebanon, Syria and the West Bank, our operations may be adversely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To date, these initiatives have been substantially put on hold.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2" w:name="bs_008"/>
      <w:bookmarkEnd w:id="482"/>
      <w:r>
        <w:rPr>
          <w:rFonts w:ascii="Times New Roman;Times;Serif" w:hAnsi="Times New Roman;Times;Serif"/>
          <w:b/>
          <w:i w:val="false"/>
          <w:caps w:val="false"/>
          <w:smallCaps w:val="false"/>
          <w:sz w:val="20"/>
        </w:rPr>
        <w:t>Item 2. Unregistered Sales of Equity Securities and Use of Proceeds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3" w:name="bs_009"/>
      <w:bookmarkEnd w:id="483"/>
      <w:r>
        <w:rPr>
          <w:rFonts w:ascii="Times New Roman;Times;Serif" w:hAnsi="Times New Roman;Times;Serif"/>
          <w:b/>
          <w:i w:val="false"/>
          <w:caps w:val="false"/>
          <w:smallCaps w:val="false"/>
          <w:sz w:val="20"/>
        </w:rPr>
        <w:t>Item 3. Defaults Upon Senior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4" w:name="bs_010"/>
      <w:bookmarkEnd w:id="484"/>
      <w:r>
        <w:rPr>
          <w:rFonts w:ascii="Times New Roman;Times;Serif" w:hAnsi="Times New Roman;Times;Serif"/>
          <w:b/>
          <w:i w:val="false"/>
          <w:caps w:val="false"/>
          <w:smallCaps w:val="false"/>
          <w:sz w:val="20"/>
        </w:rPr>
        <w:t>Item 4. Mine Safety Disclosures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5" w:name="bs_011"/>
      <w:bookmarkEnd w:id="485"/>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2024, no director or officer of the Company </w:t>
      </w:r>
      <w:bookmarkStart w:id="486" w:name="xdx_907_eecd--NonRule10b51ArrAdoptedFlag"/>
      <w:bookmarkStart w:id="487" w:name="xdx_90C_eecd--Rule10b51ArrAdoptedFlag_db"/>
      <w:bookmarkEnd w:id="486"/>
      <w:bookmarkEnd w:id="487"/>
      <w:r>
        <w:rPr>
          <w:rFonts w:ascii="Times New Roman;Times;Serif" w:hAnsi="Times New Roman;Times;Serif"/>
          <w:b w:val="false"/>
          <w:i w:val="false"/>
          <w:caps w:val="false"/>
          <w:smallCaps w:val="false"/>
          <w:sz w:val="20"/>
        </w:rPr>
        <w:t xml:space="preserve">adopted or </w:t>
      </w:r>
      <w:bookmarkStart w:id="488" w:name="xdx_90D_eecd--NonRule10b51ArrTrmntdFlag_"/>
      <w:bookmarkStart w:id="489" w:name="xdx_903_eecd--Rule10b51ArrTrmntdFlag_dbF"/>
      <w:bookmarkEnd w:id="488"/>
      <w:bookmarkEnd w:id="489"/>
      <w:r>
        <w:rPr>
          <w:rFonts w:ascii="Times New Roman;Times;Serif" w:hAnsi="Times New Roman;Times;Serif"/>
          <w:b w:val="false"/>
          <w:i w:val="false"/>
          <w:caps w:val="false"/>
          <w:smallCaps w:val="false"/>
          <w:sz w:val="20"/>
        </w:rPr>
        <w:t>terminated a “Rule 10b5-1 trading arrangement” or a “non-Rule 10b5-1 trading arrangement” (in each case, as defined in Item 408 of Regulation 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0" w:name="bs_012"/>
      <w:bookmarkEnd w:id="490"/>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0"/>
        <w:gridCol w:w="60"/>
        <w:gridCol w:w="9335"/>
      </w:tblGrid>
      <w:tr>
        <w:trPr/>
        <w:tc>
          <w:tcPr>
            <w:tcW w:w="81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as amended through March 31, 2015 (incorporated by reference to Exhibit 3.1 to Quarterly Report on Form 10-Q filed with the Securities and Exchange Commission on November 9, 2015)</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(incorporated by reference to Exhibit 3.2 to Current Report on Form 8-K filed with the Securities and Exchange Commission on June 29, 2021)</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May 25, 2016)</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29, 2016)</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Designation of Preferences, Rights and Limitations of Series C Convertible Preferred Stock (incorporated by reference to Exhibit 3.1 to the Current Report on Form 8-K filed on March 15, 2017)</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C Convertible Preferred Stock (incorporated by reference to Exhibit 3.1 to the Current Report on Form 8-K filed on November 29, 2017)</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Certificate of Designation of Preferences, Rights and Limitation of Series B Convertible Preferred Stock (incorporated by reference to Exhibit 3.1 to the Current Report on Form 8-K filed on December 12, 2017)</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February 7, 2018)</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March 28, 2019)</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dated April 14, 2021 (incorporated by reference to Exhibit 3.17 to the Quarterly Report on Form 10-Q filed on May 10, 2021)</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Amendment to Amended and Restated Certificate of Incorporation of InspireMD, Inc. (incorporated by reference to Exhibit 3.1 to the Current Report on Form 8-K filed on September 13, 2023)</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8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(the Instance Document does not appear in the interactive data file because its XBRL tags are embedded within the Inline XBRL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1" w:name="bs_013"/>
      <w:bookmarkEnd w:id="49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760"/>
        <w:gridCol w:w="590"/>
        <w:gridCol w:w="387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4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INSPIREMD,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Marvin Slosman,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Shore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Shore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92" w:name="ex31-1.htm"/>
      <w:bookmarkStart w:id="493" w:name="ksex311"/>
      <w:bookmarkEnd w:id="492"/>
      <w:bookmarkEnd w:id="49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Marvin Slosman,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760"/>
        <w:gridCol w:w="2360"/>
      </w:tblGrid>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2024</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4" w:name="ex31-2.htm"/>
      <w:bookmarkStart w:id="495" w:name="ksex312"/>
      <w:bookmarkEnd w:id="494"/>
      <w:bookmarkEnd w:id="49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Craig Shore,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InspireMD,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760"/>
        <w:gridCol w:w="387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2024</w:t>
            </w:r>
          </w:p>
        </w:tc>
        <w:tc>
          <w:tcPr>
            <w:tcW w:w="38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Shore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Shore</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6" w:name="ex32-1.htm"/>
      <w:bookmarkStart w:id="497" w:name="ksex321"/>
      <w:bookmarkEnd w:id="496"/>
      <w:bookmarkEnd w:id="49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June 30, 2024 as filed with the Securities and Exchange Commission on the date hereof (the “Report”), I, Marvin Slosman, Chief Executive Officer of the Company, certify, pursuant to 18 U.S.C. ss. 1350,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64" w:type="dxa"/>
            <w:tcBorders/>
            <w:vAlign w:val="center"/>
          </w:tcPr>
          <w:p>
            <w:pPr>
              <w:pStyle w:val="TableContents"/>
              <w:bidi w:val="0"/>
              <w:spacing w:before="0" w:after="283"/>
              <w:jc w:val="right"/>
              <w:rPr>
                <w:caps w:val="false"/>
                <w:smallCaps w:val="false"/>
              </w:rPr>
            </w:pPr>
            <w:r>
              <w:rPr>
                <w:caps w:val="false"/>
                <w:smallCaps w:val="false"/>
              </w:rPr>
              <w:t> </w:t>
            </w:r>
          </w:p>
        </w:tc>
        <w:tc>
          <w:tcPr>
            <w:tcW w:w="9941" w:type="dxa"/>
            <w:tcBorders/>
            <w:vAlign w:val="center"/>
          </w:tcPr>
          <w:p>
            <w:pPr>
              <w:pStyle w:val="TableContents"/>
              <w:bidi w:val="0"/>
              <w:spacing w:before="0" w:after="283"/>
              <w:jc w:val="left"/>
              <w:rPr>
                <w:sz w:val="4"/>
                <w:szCs w:val="4"/>
              </w:rPr>
            </w:pPr>
            <w:r>
              <w:rPr>
                <w:sz w:val="4"/>
                <w:szCs w:val="4"/>
              </w:rPr>
            </w:r>
          </w:p>
        </w:tc>
      </w:tr>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760"/>
        <w:gridCol w:w="590"/>
        <w:gridCol w:w="2360"/>
      </w:tblGrid>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2024</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Marvin Slosman</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Marvin Slosman</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98" w:name="ex32-2.htm"/>
      <w:bookmarkStart w:id="499" w:name="ksex322"/>
      <w:bookmarkEnd w:id="498"/>
      <w:bookmarkEnd w:id="49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InspireMD, Inc. (the “Company”) for the period ended June 30, 2024 as filed with the Securities and Exchange Commission on the date hereof (the “Report”), I, Craig Shore, Chief Financial Officer of the Company, certify, pursuant to 18 U.S.C. ss. 1350,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Section 15(d) of the Securities Exchange Act of 1934; and</w:t>
            </w:r>
          </w:p>
        </w:tc>
      </w:tr>
      <w:tr>
        <w:trPr/>
        <w:tc>
          <w:tcPr>
            <w:tcW w:w="236" w:type="dxa"/>
            <w:tcBorders/>
            <w:vAlign w:val="center"/>
          </w:tcPr>
          <w:p>
            <w:pPr>
              <w:pStyle w:val="TableContents"/>
              <w:bidi w:val="0"/>
              <w:spacing w:before="0" w:after="283"/>
              <w:jc w:val="right"/>
              <w:rPr>
                <w:caps w:val="false"/>
                <w:smallCaps w:val="false"/>
              </w:rPr>
            </w:pPr>
            <w:r>
              <w:rPr>
                <w:caps w:val="false"/>
                <w:smallCaps w:val="false"/>
              </w:rPr>
              <w:t> </w:t>
            </w:r>
          </w:p>
        </w:tc>
        <w:tc>
          <w:tcPr>
            <w:tcW w:w="9969" w:type="dxa"/>
            <w:tcBorders/>
            <w:vAlign w:val="center"/>
          </w:tcPr>
          <w:p>
            <w:pPr>
              <w:pStyle w:val="TableContents"/>
              <w:bidi w:val="0"/>
              <w:spacing w:before="0" w:after="283"/>
              <w:jc w:val="left"/>
              <w:rPr>
                <w:sz w:val="4"/>
                <w:szCs w:val="4"/>
              </w:rPr>
            </w:pPr>
            <w:r>
              <w:rPr>
                <w:sz w:val="4"/>
                <w:szCs w:val="4"/>
              </w:rPr>
            </w:r>
          </w:p>
        </w:tc>
      </w:tr>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covered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760"/>
        <w:gridCol w:w="590"/>
        <w:gridCol w:w="3875"/>
      </w:tblGrid>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2024</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7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Craig Shore</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Shore</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3607/000161577415003178/s102096_ex3-1.htm" TargetMode="External"/><Relationship Id="rId3" Type="http://schemas.openxmlformats.org/officeDocument/2006/relationships/hyperlink" Target="https://www.sec.gov/Archives/edgar/data/1433607/000149315221015545/ex3-2.htm" TargetMode="External"/><Relationship Id="rId4" Type="http://schemas.openxmlformats.org/officeDocument/2006/relationships/hyperlink" Target="https://www.sec.gov/Archives/edgar/data/1433607/000161577416005628/s103343_ex3-1.htm" TargetMode="External"/><Relationship Id="rId5" Type="http://schemas.openxmlformats.org/officeDocument/2006/relationships/hyperlink" Target="https://www.sec.gov/Archives/edgar/data/1433607/000149315216013705/ex3-1.htm" TargetMode="External"/><Relationship Id="rId6" Type="http://schemas.openxmlformats.org/officeDocument/2006/relationships/hyperlink" Target="https://www.sec.gov/Archives/edgar/data/1433607/000149315217002455/ex3-1.htm" TargetMode="External"/><Relationship Id="rId7" Type="http://schemas.openxmlformats.org/officeDocument/2006/relationships/hyperlink" Target="https://www.sec.gov/Archives/edgar/data/1433607/000149315217013917/ex3-1.htm" TargetMode="External"/><Relationship Id="rId8" Type="http://schemas.openxmlformats.org/officeDocument/2006/relationships/hyperlink" Target="https://www.sec.gov/Archives/edgar/data/1433607/000149315217014515/ex3-1.htm" TargetMode="External"/><Relationship Id="rId9" Type="http://schemas.openxmlformats.org/officeDocument/2006/relationships/hyperlink" Target="https://www.sec.gov/Archives/edgar/data/1433607/000149315218001617/ex3-1.htm" TargetMode="External"/><Relationship Id="rId10" Type="http://schemas.openxmlformats.org/officeDocument/2006/relationships/hyperlink" Target="https://www.sec.gov/Archives/edgar/data/1433607/000149315219004101/ex3-1.htm" TargetMode="External"/><Relationship Id="rId11" Type="http://schemas.openxmlformats.org/officeDocument/2006/relationships/hyperlink" Target="https://www.sec.gov/Archives/edgar/data/1433607/000149315221010881/ex3-17.htm" TargetMode="External"/><Relationship Id="rId12" Type="http://schemas.openxmlformats.org/officeDocument/2006/relationships/hyperlink" Target="https://www.sec.gov/Archives/edgar/data/1433607/000149315223032486/ex3-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13149</Words>
  <Characters>71678</Characters>
  <CharactersWithSpaces>86207</CharactersWithSpaces>
  <Paragraphs>4265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