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25" w:lineRule="exact"/>
        <w:rPr>
          <w:sz w:val="24"/>
          <w:szCs w:val="24"/>
          <w:color w:val="auto"/>
        </w:rPr>
      </w:pPr>
    </w:p>
    <w:p>
      <w:pPr>
        <w:ind w:left="4000" w:right="2120" w:hanging="3992"/>
        <w:spacing w:after="0" w:line="500" w:lineRule="auto"/>
        <w:tabs>
          <w:tab w:leader="none" w:pos="3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December 31, 2024</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920" w:right="1740" w:hanging="3912"/>
        <w:spacing w:after="0" w:line="486" w:lineRule="auto"/>
        <w:tabs>
          <w:tab w:leader="none" w:pos="33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001-35731</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InspireMD,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40" w:right="339" w:bottom="123" w:gutter="0" w:footer="0" w:header="0"/>
        </w:sectPr>
      </w:pPr>
    </w:p>
    <w:p>
      <w:pPr>
        <w:spacing w:after="0" w:line="201"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26-2123838</w:t>
      </w:r>
    </w:p>
    <w:p>
      <w:pPr>
        <w:spacing w:after="0" w:line="31"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2">
            <w:col w:w="6940" w:space="720"/>
            <w:col w:w="3580"/>
          </w:cols>
          <w:pgMar w:left="320" w:top="740" w:right="339" w:bottom="123"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6303 Waterford District Drive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215</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Miami, Florida 33126</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(Zip Code)</w:t>
      </w:r>
    </w:p>
    <w:p>
      <w:pPr>
        <w:sectPr>
          <w:pgSz w:w="11900" w:h="16838" w:orient="portrait"/>
          <w:cols w:equalWidth="0" w:num="1">
            <w:col w:w="11240"/>
          </w:cols>
          <w:pgMar w:left="320" w:top="740" w:right="339" w:bottom="123"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(888) 776-6804</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4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NSPR</w:t>
            </w:r>
          </w:p>
        </w:tc>
        <w:tc>
          <w:tcPr>
            <w:tcW w:w="22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23" w:gutter="0" w:footer="0" w:header="0"/>
          <w:type w:val="continuous"/>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740" w:right="339" w:bottom="123" w:gutter="0" w:footer="0" w:header="0"/>
          <w:type w:val="continuous"/>
        </w:sectPr>
      </w:pPr>
    </w:p>
    <w:p>
      <w:pPr>
        <w:spacing w:after="0" w:line="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3780" w:space="720"/>
            <w:col w:w="6740"/>
          </w:cols>
          <w:pgMar w:left="320" w:top="740" w:right="339" w:bottom="123" w:gutter="0" w:footer="0" w:header="0"/>
          <w:type w:val="continuous"/>
        </w:sectPr>
      </w:pPr>
    </w:p>
    <w:p>
      <w:pPr>
        <w:spacing w:after="0" w:line="37" w:lineRule="exact"/>
        <w:rPr>
          <w:sz w:val="24"/>
          <w:szCs w:val="24"/>
          <w:color w:val="auto"/>
        </w:rPr>
      </w:pPr>
    </w:p>
    <w:p>
      <w:pPr>
        <w:jc w:val="center"/>
        <w:ind w:right="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123" w:gutter="0" w:footer="0" w:header="0"/>
          <w:type w:val="continuous"/>
        </w:sectPr>
      </w:pPr>
    </w:p>
    <w:p>
      <w:pPr>
        <w:spacing w:after="0" w:line="27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740" w:right="339" w:bottom="123" w:gutter="0" w:footer="0" w:header="0"/>
          <w:type w:val="continuous"/>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stock held by non-affiliates of the registrant as of June 30, 2024, based on the price at which the common equity was last sold on such date, was $52,421,148. For purposes of this computation only, all officers, directors and 10% or greater stockholders of the registrant are deemed to be affiliates.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registrant’s classes of common stock as of the latest practicable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Borders>
              <w:bottom w:val="single" w:sz="8" w:color="auto"/>
            </w:tcBorders>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March 12, 2025</w:t>
            </w:r>
          </w:p>
        </w:tc>
      </w:tr>
      <w:tr>
        <w:trPr>
          <w:trHeight w:val="228"/>
        </w:trPr>
        <w:tc>
          <w:tcPr>
            <w:tcW w:w="408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jc w:val="right"/>
              <w:ind w:right="2250"/>
              <w:spacing w:after="0"/>
              <w:rPr>
                <w:sz w:val="20"/>
                <w:szCs w:val="20"/>
                <w:color w:val="auto"/>
              </w:rPr>
            </w:pPr>
            <w:r>
              <w:rPr>
                <w:rFonts w:ascii="Times New Roman" w:cs="Times New Roman" w:eastAsia="Times New Roman" w:hAnsi="Times New Roman"/>
                <w:sz w:val="18"/>
                <w:szCs w:val="18"/>
                <w:color w:val="auto"/>
              </w:rPr>
              <w:t>29,689,857</w:t>
            </w:r>
          </w:p>
        </w:tc>
      </w:tr>
      <w:tr>
        <w:trPr>
          <w:trHeight w:val="414"/>
        </w:trPr>
        <w:tc>
          <w:tcPr>
            <w:tcW w:w="4080" w:type="dxa"/>
            <w:vAlign w:val="bottom"/>
          </w:tcPr>
          <w:p>
            <w:pPr>
              <w:spacing w:after="0"/>
              <w:rPr>
                <w:sz w:val="24"/>
                <w:szCs w:val="24"/>
                <w:color w:val="auto"/>
              </w:rPr>
            </w:pPr>
          </w:p>
        </w:tc>
        <w:tc>
          <w:tcPr>
            <w:tcW w:w="7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2025 Annual Meeting of Stockholders, which the Registrant intends to file pursuant to Regulation 14A with the Securities and Exchange Commission not later than 120 days after December 31, 2024,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40" w:type="dxa"/>
            <w:vAlign w:val="bottom"/>
            <w:gridSpan w:val="15"/>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
        </w:trPr>
        <w:tc>
          <w:tcPr>
            <w:tcW w:w="98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0"/>
        </w:trPr>
        <w:tc>
          <w:tcPr>
            <w:tcW w:w="980" w:type="dxa"/>
            <w:vAlign w:val="bottom"/>
            <w:shd w:val="clear" w:color="auto" w:fill="CCEEFF"/>
          </w:tcPr>
          <w:p>
            <w:pPr>
              <w:spacing w:after="0"/>
              <w:rPr>
                <w:sz w:val="18"/>
                <w:szCs w:val="18"/>
                <w:color w:val="auto"/>
              </w:rPr>
            </w:pPr>
          </w:p>
        </w:tc>
        <w:tc>
          <w:tcPr>
            <w:tcW w:w="962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640" w:type="dxa"/>
            <w:vAlign w:val="bottom"/>
            <w:shd w:val="clear" w:color="auto" w:fill="CCEEFF"/>
          </w:tcPr>
          <w:p>
            <w:pPr>
              <w:spacing w:after="0"/>
              <w:rPr>
                <w:sz w:val="18"/>
                <w:szCs w:val="18"/>
                <w:color w:val="auto"/>
              </w:rPr>
            </w:pPr>
          </w:p>
        </w:tc>
      </w:tr>
      <w:tr>
        <w:trPr>
          <w:trHeight w:val="175"/>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20" w:type="dxa"/>
            <w:vAlign w:val="bottom"/>
            <w:gridSpan w:val="11"/>
          </w:tcPr>
          <w:p>
            <w:pPr>
              <w:jc w:val="center"/>
              <w:ind w:right="4500"/>
              <w:spacing w:after="0" w:line="176" w:lineRule="exact"/>
              <w:rPr>
                <w:sz w:val="20"/>
                <w:szCs w:val="20"/>
                <w:color w:val="auto"/>
              </w:rPr>
            </w:pPr>
            <w:r>
              <w:rPr>
                <w:rFonts w:ascii="Times New Roman" w:cs="Times New Roman" w:eastAsia="Times New Roman" w:hAnsi="Times New Roman"/>
                <w:sz w:val="18"/>
                <w:szCs w:val="18"/>
                <w:color w:val="0000EE"/>
                <w:w w:val="95"/>
              </w:rPr>
              <w:t>PART I</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Unresolved Staff Comments.</w:t>
            </w:r>
          </w:p>
        </w:tc>
        <w:tc>
          <w:tcPr>
            <w:tcW w:w="752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Properties.</w:t>
            </w:r>
          </w:p>
        </w:tc>
        <w:tc>
          <w:tcPr>
            <w:tcW w:w="8840" w:type="dxa"/>
            <w:vAlign w:val="bottom"/>
            <w:tcBorders>
              <w:bottom w:val="single" w:sz="8" w:color="CCEEFF"/>
            </w:tcBorders>
            <w:gridSpan w:val="2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16"/>
        </w:trPr>
        <w:tc>
          <w:tcPr>
            <w:tcW w:w="9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76"/>
        </w:trPr>
        <w:tc>
          <w:tcPr>
            <w:tcW w:w="9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120" w:type="dxa"/>
            <w:vAlign w:val="bottom"/>
            <w:gridSpan w:val="11"/>
            <w:shd w:val="clear" w:color="auto" w:fill="CCEEFF"/>
          </w:tcPr>
          <w:p>
            <w:pPr>
              <w:jc w:val="center"/>
              <w:ind w:right="4520"/>
              <w:spacing w:after="0" w:line="176" w:lineRule="exact"/>
              <w:rPr>
                <w:sz w:val="20"/>
                <w:szCs w:val="20"/>
                <w:color w:val="auto"/>
              </w:rPr>
            </w:pPr>
            <w:r>
              <w:rPr>
                <w:rFonts w:ascii="Times New Roman" w:cs="Times New Roman" w:eastAsia="Times New Roman" w:hAnsi="Times New Roman"/>
                <w:sz w:val="18"/>
                <w:szCs w:val="18"/>
                <w:color w:val="0000EE"/>
                <w:w w:val="95"/>
              </w:rPr>
              <w:t>PART II</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0"/>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9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68</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44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22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656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30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3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260" w:type="dxa"/>
            <w:vAlign w:val="bottom"/>
            <w:tcBorders>
              <w:bottom w:val="single" w:sz="8" w:color="CCEEFF"/>
            </w:tcBorders>
            <w:gridSpan w:val="2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76"/>
        </w:trPr>
        <w:tc>
          <w:tcPr>
            <w:tcW w:w="9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40" w:type="dxa"/>
            <w:vAlign w:val="bottom"/>
            <w:gridSpan w:val="12"/>
          </w:tcPr>
          <w:p>
            <w:pPr>
              <w:jc w:val="center"/>
              <w:ind w:right="4480"/>
              <w:spacing w:after="0" w:line="176" w:lineRule="exact"/>
              <w:rPr>
                <w:sz w:val="20"/>
                <w:szCs w:val="20"/>
                <w:color w:val="auto"/>
              </w:rPr>
            </w:pPr>
            <w:r>
              <w:rPr>
                <w:rFonts w:ascii="Times New Roman" w:cs="Times New Roman" w:eastAsia="Times New Roman" w:hAnsi="Times New Roman"/>
                <w:sz w:val="18"/>
                <w:szCs w:val="18"/>
                <w:color w:val="0000EE"/>
                <w:w w:val="96"/>
              </w:rPr>
              <w:t>PART III</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41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4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734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175"/>
        </w:trPr>
        <w:tc>
          <w:tcPr>
            <w:tcW w:w="9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962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98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62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16"/>
        </w:trPr>
        <w:tc>
          <w:tcPr>
            <w:tcW w:w="980" w:type="dxa"/>
            <w:vAlign w:val="bottom"/>
            <w:tcBorders>
              <w:top w:val="single" w:sz="8" w:color="CCEEFF"/>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220" w:type="dxa"/>
            <w:vAlign w:val="bottom"/>
            <w:gridSpan w:val="13"/>
            <w:shd w:val="clear" w:color="auto" w:fill="CCEEFF"/>
          </w:tcPr>
          <w:p>
            <w:pPr>
              <w:jc w:val="center"/>
              <w:ind w:right="4400"/>
              <w:spacing w:after="0" w:line="176" w:lineRule="exact"/>
              <w:rPr>
                <w:sz w:val="20"/>
                <w:szCs w:val="20"/>
                <w:color w:val="auto"/>
              </w:rPr>
            </w:pPr>
            <w:r>
              <w:rPr>
                <w:rFonts w:ascii="Times New Roman" w:cs="Times New Roman" w:eastAsia="Times New Roman" w:hAnsi="Times New Roman"/>
                <w:sz w:val="18"/>
                <w:szCs w:val="18"/>
                <w:color w:val="0000EE"/>
                <w:w w:val="94"/>
              </w:rPr>
              <w:t>PART IV</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176"/>
        </w:trPr>
        <w:tc>
          <w:tcPr>
            <w:tcW w:w="9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4480" w:type="dxa"/>
            <w:vAlign w:val="bottom"/>
            <w:tcBorders>
              <w:top w:val="single" w:sz="8" w:color="CCEEFF"/>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60" w:type="dxa"/>
            <w:vAlign w:val="bottom"/>
            <w:tcBorders>
              <w:top w:val="single" w:sz="8" w:color="0000EE"/>
            </w:tcBorders>
            <w:gridSpan w:val="7"/>
          </w:tcPr>
          <w:p>
            <w:pPr>
              <w:spacing w:after="0"/>
              <w:rPr>
                <w:sz w:val="15"/>
                <w:szCs w:val="15"/>
                <w:color w:val="auto"/>
              </w:rPr>
            </w:pPr>
          </w:p>
        </w:tc>
        <w:tc>
          <w:tcPr>
            <w:tcW w:w="448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453"/>
        </w:trPr>
        <w:tc>
          <w:tcPr>
            <w:tcW w:w="980" w:type="dxa"/>
            <w:vAlign w:val="bottom"/>
            <w:tcBorders>
              <w:bottom w:val="single" w:sz="8" w:color="auto"/>
            </w:tcBorders>
          </w:tcPr>
          <w:p>
            <w:pPr>
              <w:spacing w:after="0"/>
              <w:rPr>
                <w:sz w:val="24"/>
                <w:szCs w:val="24"/>
                <w:color w:val="auto"/>
              </w:rPr>
            </w:pPr>
          </w:p>
        </w:tc>
        <w:tc>
          <w:tcPr>
            <w:tcW w:w="3200" w:type="dxa"/>
            <w:vAlign w:val="bottom"/>
            <w:tcBorders>
              <w:top w:val="single" w:sz="8" w:color="0000EE"/>
              <w:bottom w:val="single" w:sz="8" w:color="auto"/>
            </w:tcBorders>
            <w:gridSpan w:val="11"/>
          </w:tcPr>
          <w:p>
            <w:pPr>
              <w:spacing w:after="0"/>
              <w:rPr>
                <w:sz w:val="24"/>
                <w:szCs w:val="24"/>
                <w:color w:val="auto"/>
              </w:rPr>
            </w:pPr>
          </w:p>
        </w:tc>
        <w:tc>
          <w:tcPr>
            <w:tcW w:w="1700" w:type="dxa"/>
            <w:vAlign w:val="bottom"/>
            <w:tcBorders>
              <w:bottom w:val="single" w:sz="8" w:color="auto"/>
            </w:tcBorders>
            <w:gridSpan w:val="8"/>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which include information relating to future events, future financial performance, strategies, expectations, competitive environment and regulation, including, expected revenue growth, anticipated FDA approval and potential U.S. commercial launch. Words such as “may,” “will,” “should,” “could,” “would,” “predicts,” “potential,” “continue,” “expects,” “anticipates,” “future,” “intends,” “plans,” “believes,” “estimates,” and similar expressions, as well as statements in future tense, identify forward-looking statements. Forward-looking statements should not be read as a guarantee of future performance or results and will probably not be accurate indications of when such performance or results will be achieved. Forward-looking statements are based on information we have when those statements are made or our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8"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raise additional capital to meet our business requirements in the future and such capital raising may be costly or difficult to obtain and could dilute out stockholders’ ownership interests;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secure and maintain regulatory approvals for the sale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clinical trial results or lengthy product delays in key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the Nasdaq listing standards;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significant revenues from our products;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manufacturing facility and our ability to comply with stringent manufacturing quality standards and to increase production as necessary;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data collected from our current and planned clinical trials may not be sufficient to demonstrate that our technology is an attractive alternative to other procedures and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our industry, with competitors having substantially greater financial, technological, research and development, regulatory and clinical, manufacturing, marketing and sales, distribution and personnel resources than we do;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of new competitors and products and potential technological obsolescence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carry out research, development and commercialization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key customer or supplier;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with our research and products and potential product liability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malfunctions;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increases for supplies and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reimbursement by governmental and other third-party payers for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successfully obtain and maintain intellectual property protection covering our products, which may not be successful;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federal, state and local government regulation, in the United States, Europe or Israel and other foreign jurisdictions;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we conduct business in multiple foreign jurisdictions, exposing us to foreign currency exchange rate fluctuations, logistical and communications challenges, burdens and costs of compliance with foreign laws and political and economic instability in each jurisdiction;</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political and economic instability in the Middle East that could harm our business, including due to the current security situation in Israel;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or future unfavorable economic and market conditions and adverse developments with respect to financial institutions and associated liquidity risk</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our forward-looking statements. You should review carefully the risks and uncertainties described under the heading “Item 1A. Risk Factors” in this Annual Report on Form 10-K for a discussion of these and other risks that relate to our business and investing in shares of our common stock. Moreover, new risks regularly emerge, and it is not possible for our management to predict or articulate all the risks we face, nor can we assess the impact of all risks on our business or the extent to which any risk, or combination of risks, may cause actual results to differ from those contained in any forward-looking statements. All forward-looking statements included in this Annual Report are based on information available to us on the date of this Annual Report. Except to the extent required by applicable laws or rules, we undertake no obligation to publicly update or revise any forward-looking statement, whether as a result of new information, future events or otherwise. All subsequent written and oral forward-looking statements attributable to us or persons acting on our behalf are expressly qualified in their entirety by the cautionary statements contained above and throughout this Annual Report.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information in this Annual Report on Form 10-K relating to shares or price per share reflects the 1-for-15 reverse stock split effected by us on April 26,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u w:val="single" w:color="auto"/>
          <w:color w:val="auto"/>
        </w:rPr>
        <w:t>PART I</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unless the context requires otherwise, the terms “we,” “our,” “us,” or “the Company” refer to InspireMD, Inc., a Delaware corporation, and its subsidiaries, including InspireMD Ltd., taken as a whole.</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focusing on the development and commercialization of products for the treatment of carotid artery disease and other vascular disease, including our proprietary CGuard™ stent platform.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CGuard™ carotid embolic prevention system (“CGuard EPS”) combines MicroNet and a unique self-expandable nitinol stent in a single device for use in carotid artery revascularization. Our CGuard EPS originally received CE mark approval under Medical Device Directive 93/42/EEC (“MDD”) in the European Union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8, 2020, we received approval from the U.S. Food and Drug Administration (“FDA”) of our Investigation Device Exemption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(“CAS”). The study, which completed enrollment in June 2023, enrolled 316 patients across 24 trial sites in the U.S. and Europe and from April 2023 included deployment of the CGuard stent using CGuard Prime, our next generation CAS stent platform.</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data were used to support the premarket approval (“PMA”) submission in September 2024 with a view to potential FDA approval of the CGuard Prime carotid stent system in the first half of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80cm Carotid Stent System during transcarotid revascularization (TCAR) procedures.</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Centers for Medicare and Medicaid Service (“CMS”) issued its final National Coverage Determination (“NCD”), expanding coverage for both CAS and TCAR to include both asymptomatic and standard risk patients, significantly expanding and supporting the future growth of the U.S. CAS addressable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system, SwitchGuard™ neuroprotection system (“SwitchGuard NPS”), for transcarotid access and neuro protection. In addition, we intend to explore new indications for CGuard to leverage the advantages of stent design and mesh protection, well suited in labels such as acute stroke with tandem lesions.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consider our current addressable market for our CGuard Carotid Stent System and SwitchGuard NPS to be both symptomatic and asymptomatic individuals with diagnosed high-grade carotid artery stenosis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spacing w:after="0" w:line="19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were organized in the State of Delaware on February 29, 2008. In October 2024, we established our global headquarters in Miami, Florida to support the anticipated U.S. launch and commercialization of the CGuard Prime carotid stent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2023, we entered into a securities purchase agreement (the “Purchase Agreement”) pursuant to which we agreed to sell and issue in a private placement (the “Private Placement Offering”) an aggregate 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12,914,086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Pre-Funded Warrants will be immediately exercisable at an exercise price of $0.0001 per share and will not expire until exercised in full. The Warrants will be immediately exercisable upon issuance at an exercise price of $1.3827 per share, subject to adjustment as set forth therein. The Warrants have a term of the earlier of (i) five years from the date of issuance and (ii) (A) in the case of the Series H Warrants, 20 trading days following the Company’s public release of primary and secondary end points related to one year follow up study results from the Company’s C-GUARDIANS pivotal trial, (B) in the case of the Series I Warrants, 20 trading days following the Company’s announcement of receipt of Premarket Approval from the Food and Drug Administration (“FDA”) for the CGuard Prime Carotid Stent System (135 cm), (C) in the case of the Series J Warrants, 20 trading days following the Company’s announcement of receipt of FDA approval for the SwitchGuard and CGuard Prime 80 and (D) in the case on the Series K Warrants, 20 trading days following the end of the fourth fiscal quarter after the fiscal quarter in which the first commercial sales of the CGuard Carotid Stent System in the United States begins.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Warrants may be exercised on a cashless basis if there is no effective registration statement registering the shares underlying the Warrants. On May 23, 2023, we filed registration statement on Form S-3 (File No. 333-272149) registering the shares underlying the Warrants, which was declared effective by the Securities and Exchange Commission on June 2, 2023. Under the terms of the Pre-Funded Warrants and Warrants, certain of the selling stockholders may not exercise the Pre-Funded Warrants or Warrants to the extent such exercise would cause such selling stockholder, together with its affiliates and attribution parties, to beneficially own a number of shares of common stock which would exceed 4.99% or 9.99% of our then outstanding common stock following such exercise, excluding for purposes of such determination common stock issuable upon exercise of the Pre-Funded Warrants or Warrants which have not been exercised. The Warrants may be exercised into pre-funded warrants if the selling stockholder is unable to exercise the Warrant due to the foregoing beneficial ownership limitation or at the selling shareholder’s election.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 The Series H warrants, each exercisable at $1.3827 per common share and $1.3826 per pre-funded warrant, were issued as part of the private placement financing that the Company consummated on May 15,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Carotid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Carotid arteries are located on each side of the neck and provide the primary blood supply to the brain. Carotid artery disease, also called carotid artery stenosis, is a type of atherosclerosis (hardening of the arteries) that is one of the major risk factors for ischemic stroke. In carotid artery disease, plaque accumulates in the artery walls, narrowing the artery and disrupting the blood supply to the brain. This disruption in blood supply, together with plaque debris breaking off the artery walls and traveling to the brain, are significant causes of stroke. According to the World Health Organization (https://www.who.int/cardiovascular_diseases/resources/atlas/en/) every year, 15 million people worldwide suffer a stroke, and nearly six million die and another five million are left permanently disabled. According to the same source, stroke is the second leading cause of disability, after dementia.</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2022, three million people between the age of 50 and 89 years old were estimated to be diagnosed with high grade carotid artery disease, of which, approximately 394,000 of those required intervention (according to the Health Research International Personal Medical Systems, Inc. September 13, 2021 Results of Update Report on Global Carotid Stenting Procedures and Markets by Major Geography and Addressable Markets). There are three current interventional treatments used for carotid artery disease. The first is a carotid endarterectomy, where a surgeon accesses the blocked carotid artery though an incision in the neck, and then surgically removes the plaque. The second is transcarotid artery revascularization (TCAR) where a surgeon accesses the blocked carotid artery though an incision in the neck, and then places a stent to open the artery and prevent embolization while combining high-rate blood flow reversal to protect the brain. The third is carotid artery stenting (CAS), which is a minimally invasive endovascular treatment for using stents and carotid embolic protection systems to protect against plaque and debris traveling downstream, blocking off the vessel and disrupting blood flow. We believe that the availability of less invasive treatment options like TCAR and CAS should increase the number of patients being treated since they avoid the need for complex surgery.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MicroNet Mesh Platform Technology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MicroNet is our proprietary knitted mesh which wraps around a stent to protect patients from plaque prolapse and embolization upon deployment. MicroNet is made of a single fiber from a biocompatible polymer widely used in medical implants. The size, or aperture, of the current MicroNet ‘pore’ is only 150-180 microns, designed to maximize protection against the potentially dangerous plaque and thrombus. The MicroNet mesh is the core technology around which we have developed products for specific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 Carotid Artery Applications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CGuard EPS combines our MicroNet mesh and a self-expandable nitinol stent (a stent that expands without balloon dilation pressure or need of an inflation balloon) in a single device for use in carotid artery applications. MicroNet is placed over and attached to the outside of an open cell nitinol stent, forming a highly flexible implant that conforms to the carotid anatomy designed to trap debris and emboli that can dislodge from the diseased carotid artery and potentially travel to the brain and cause a stroke. This danger is one of the greatest limitations of carotid artery stenting with conventional carotid stents.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believe that our CGuard EPS design provides advantages over existing therapies in treating carotid artery stenosis, such as conventional carotid stenting and surgical endarterectomy, given the superior embolic protection characteristics provided by the MicroNet. We believe the MicroNet will provide acute embolic protection at the time of the procedure, but more importantly, will provide post-procedure protection against embolic dislodgement. It is in this post-procedure time frame that embolization is the source of post-procedural strokes in the brain. Schofer, et al. (“Late cerebral embolization after emboli-protected carotid artery stenting assessed by sequential diffusion-weighted magnetic resonance imaging,” </w:t>
      </w:r>
      <w:r>
        <w:rPr>
          <w:rFonts w:ascii="Times New Roman" w:cs="Times New Roman" w:eastAsia="Times New Roman" w:hAnsi="Times New Roman"/>
          <w:sz w:val="18"/>
          <w:szCs w:val="18"/>
          <w:i w:val="1"/>
          <w:iCs w:val="1"/>
          <w:color w:val="auto"/>
        </w:rPr>
        <w:t>Journal of American College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Cardiology Cardiovascular Interventions</w:t>
      </w:r>
      <w:r>
        <w:rPr>
          <w:rFonts w:ascii="Times New Roman" w:cs="Times New Roman" w:eastAsia="Times New Roman" w:hAnsi="Times New Roman"/>
          <w:sz w:val="18"/>
          <w:szCs w:val="18"/>
          <w:color w:val="auto"/>
        </w:rPr>
        <w:t>, Volume 1, 2008) have shown that the majority of the incidents of embolic showers associated with carotid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stenting occur post-procedure.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CGuard EPS originally received CE mark approval in the EU in March 2013 and was fully launched in Europe in September 2015. Subsequently, we launched CGuard EPS in 30 plus countries and on February 3, 2021, we executed a distribution agreement with Chinese partners for the purpose of expanding our presence in China.</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8, 2020, we received approval from the FDA of our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carotid artery stenting. The study, which completed enrollment in June 2023, enrolled 316 patients across 24 trial sites in the U.S. and Europe and from April 2023 included deployment of the CGuard stent using CGuard Prime, our next generation CAS stent platform.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is a composite of: (1) incidence of major adverse events including Death (all-cause mortality), any Stroke, and Myocardial Infarction (DSMI) through 30-days post index procedure, or (2) ipsilateral stroke from day 31 to day 365 post-procedure. All events are adjudicated by an independent clinical events committee. The composite endpoint will be compared to a performance goal based on the observed rate of the two components of the primary endpoint from previous pivotal stent trials which are considered industry standard. The performance goal will be considered met if the upper bound of the two-sided 95% confidence interval calculated from the observed primary endpoint rate is &lt; 11.6% and the p-value is less than 0.025.</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 These data were used to support the premarket approval, or PMA, submission in September 2024 with a view to potential FDA approval of the CGuard Prime carotid stent system in the first half of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Prime Stent System</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CGuard Prime stent system is a mesh-covered self-expanding carotid stent that is loaded into a rapid exchange (Rx) delivery system that is subject to regulatory approval.</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CGuard Prime Carotid Stent is a self-expanding nitinol stent covered with a MicroNet bio-stable sleeve woven from a single strand of 23 μm Polyethylene Terephthalate (PET). The MicroNet sleeve is designed to trap and seal thrombus and plaque against the vessel wall, providing continuous embolic prevention. The CGuard Prime Carotid Stent is available in diameters ranging from 6mm to 10mm and in lengths of 20, 30, 40 and 60mm. The CGuard Prime delivery system is a rapid exchange (Rx), delivery system with a 6Fr profile that can accommodate all stent sizes from 6mm to 10mm. In the U.S., we are currently seeking approval only for stent sizes in 8, 9 and 10 mm in diameter with lengths of 30 and 40 mm.</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CGuard Prime 135 cm advances the first generation CGuard transfemoral delivery system with a new handle design for ease of deployment and a new catheter design for more flexible navigation of tortuous anatomy. The CGuard Prime product was used in 32 patients out of 315 patients in the CGuardians study, since April 2023. In October 2024, the FDA approved the Company’s IDE to initiate the CGUARDIANS II study of its CGuard Prime 80cm Carotid Stent System for use in the indication of transcarotid revascularization (TCAR) procedures.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CGuard Prime Technical Documentation is currently under Notified Body review for EU MDR certification.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SwitchGuard NPS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SwitchGuard NPS is a Class IIa neuroprotection system (NPS) that we have developed and that is subject to regulatory approval, composed of medical grade tubing with male Luer lock connectors at each end and an in-line 200-micron blood filter. When connected to the included arterial and venous sheaths, the system is intended as an external arterial-venous (A-V) shunt, allowing arterial blood to flow into the venous system, while filtering particulate before returning blood to the patient on the venous side.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SwitchGuard is being developed to answer a need of flow reversal for cerebral protection in carotid interventions since symptomatic distal embolization, caused by the release of material (thrombotic, necrotic, or atherosclerotic) from the site of the lesion during the intervention, is the most frequent and important complication of CAS. Reversing blood flow has been shown to reduce stroke risk during carotid artery procedures.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submitted an IDE to the FDA for the C-GUARDIANS III clinical trial in December 2024, which, if approved, would allow us to initiate a clinical trial to support the clearance of the SwitchGuard NPS coupled with CGuard Prime.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Acute Stroke with Tandem Lesions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estimated that 20-30% of acute ischemic strokes are caused by large vessel occlusion involve tandem lesions- high grade stenosis/occlusion of the internal carotid artery plus thrombotic occlusion of an intracranial vessel. Currently there is no indicated use of CAS for these lesions during stroke treatment when the placement of an embolic protection device is not possible. We believe CGuard Prime is optimally suited for intervention in this acute setting by its design (flexible / low metal structure) as well as MicroNet mesh offering embolic protection both during and post procedure. Our goal is to develop CGuard Prime to mitigate strokes in this acute setting.</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2023, we announced a strategic agreement with Jacobs Institute to execute an early feasibility study of CGuard Prime for the treatment of acute stroke patients with tandem lesions. The study is expected to enroll 15 acute stroke patients across three U.S. sites to explore the safety and feasibility of using CGuard Prime in this setting.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MGuard Prime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historically developed and sold the MGuard Prime embolic protection system (“MGuard Prime EPS”) which was marketed for use in patients with acute coronary syndromes, notably acute myocardial infarction (heart attack) and saphenous vein graft coronary interventions. Over the past years there has been a shift in industry preferences towards drug eluting stents. As a result of declining sales and utilization of the MGuard Prime EPS, which was largely driven by the predominant industry preferences favoring drug-eluting stents, during the second quarter of 2022 we ceased sales of MGuard Prime EPS following a phase out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Completed Clinical Trials for CGuard EPS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CARENET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CARENET trial was the first multi-center study of CGuard EPS following the receipt of CE mark of this device in March 2013. The CARENET trial was designed to evaluate feasibility and safety of CGuard EPS in treatment of carotid lesions in consecutive patients suitable for CASin a multi-operator, real-life setting. The acute, 30-day, magnetic resonance imaging (“MRI”), ultrasound and six-month clinical event results were presented at the LINC conference in Leipzig, Germany in February, 2015. In the third quarter of 2015, the results of the CGuard CARENET trial were published in the Journal of the American College of Cardiology. In November 2015, positive twelve-month follow-up data from the CGuard CARENET trial was presented at the 42nd Annual Symposium on Vascular and Endovascular Issues, documenting the benefits of the CGuard MicroNet technology as well as the patency benefits (maintaining the artery open) of the internal and external carotid arteries at twelve months. In September 2022, the results of the CGuard CARENET trial five year follow up were published in the Journal of the American College of Cardiology: Cardiovascular Interventions Vol. 15, No 18, 2022 September 26, 2022:1883-1891. There was no ipsilateral stroke or ipsilateral stroke-related death which occurred throughout the five years. In addition, no stent restenosis or external carotid artery occlusion occurred in CARENET by 5 years, indicating normal healing and uncompromised side-branch patency.</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MACCE (myocardial infarction (“MI”), stroke or death) rate was 0.0% at 30 days. At six months, there was one death, which was not device or procedure-related but did result in a MACCE rate of 3.6% at six months. At twelve months there were two additional deaths, which were not device or procedure-related resulting in a MACCE rate of 10.7% at one year.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30 days</w:t>
            </w:r>
          </w:p>
        </w:tc>
        <w:tc>
          <w:tcPr>
            <w:tcW w:w="18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6 months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months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3820" w:type="dxa"/>
            <w:vAlign w:val="bottom"/>
            <w:tcBorders>
              <w:bottom w:val="single" w:sz="8" w:color="CCEEFF"/>
            </w:tcBorders>
          </w:tcPr>
          <w:p>
            <w:pPr>
              <w:spacing w:after="0"/>
              <w:rPr>
                <w:sz w:val="20"/>
                <w:szCs w:val="20"/>
                <w:color w:val="auto"/>
              </w:rPr>
            </w:pPr>
          </w:p>
        </w:tc>
        <w:tc>
          <w:tcPr>
            <w:tcW w:w="216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(n=30)</w:t>
            </w:r>
          </w:p>
        </w:tc>
        <w:tc>
          <w:tcPr>
            <w:tcW w:w="3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(n=28)</w:t>
            </w:r>
          </w:p>
        </w:tc>
        <w:tc>
          <w:tcPr>
            <w:tcW w:w="38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(n=28)</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0"/>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MACCE (MI, stroke, death)</w:t>
            </w:r>
          </w:p>
        </w:tc>
        <w:tc>
          <w:tcPr>
            <w:tcW w:w="2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 3.6%</w:t>
            </w:r>
          </w:p>
        </w:tc>
        <w:tc>
          <w:tcPr>
            <w:tcW w:w="1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 10.7%</w:t>
            </w:r>
          </w:p>
        </w:tc>
      </w:tr>
      <w:tr>
        <w:trPr>
          <w:trHeight w:val="216"/>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w:t>
            </w:r>
          </w:p>
        </w:tc>
        <w:tc>
          <w:tcPr>
            <w:tcW w:w="4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0.0%</w:t>
            </w:r>
          </w:p>
        </w:tc>
      </w:tr>
      <w:tr>
        <w:trPr>
          <w:trHeight w:val="216"/>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stroke</w:t>
            </w:r>
          </w:p>
        </w:tc>
        <w:tc>
          <w:tcPr>
            <w:tcW w:w="4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5"/>
              </w:rPr>
              <w:t>0.0%</w:t>
            </w: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death</w:t>
            </w:r>
          </w:p>
        </w:tc>
        <w:tc>
          <w:tcPr>
            <w:tcW w:w="4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(0) 0.0%</w:t>
            </w:r>
          </w:p>
        </w:tc>
        <w:tc>
          <w:tcPr>
            <w:tcW w:w="1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 3.6%</w:t>
            </w: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 10.7%</w:t>
            </w:r>
          </w:p>
        </w:tc>
      </w:tr>
      <w:tr>
        <w:trPr>
          <w:trHeight w:val="414"/>
        </w:trPr>
        <w:tc>
          <w:tcPr>
            <w:tcW w:w="3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 carries the risk of cerebral embolization during and following the procedure, leading to life-threatening complications, mainly cerebral ischemic events. Diffusion-weighted magnetic resonance imaging (DW-MRI) is a sensitive tool used to identify cerebral emboli during CAS by measuring “lesions” within the brain which are areas that are ischemic and do not receive oxygenated blood due to cerebral emboli. In the CARENET trial, 37.0% of patients treated with CGuard EPS had new ischemic lesions at 48 hours after the procedure, with an average volume of 0.039 cm3. Of these lesions, there was only one that remained at 30 days following the procedure and all others had resolved. Complete details appear in the following table. Where there is a second number shown below after a ± symbol, it indicates the potential error in the measurement.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spacing w:after="0"/>
              <w:rPr>
                <w:sz w:val="18"/>
                <w:szCs w:val="18"/>
                <w:color w:val="auto"/>
              </w:rPr>
            </w:pPr>
          </w:p>
        </w:tc>
        <w:tc>
          <w:tcPr>
            <w:tcW w:w="2280" w:type="dxa"/>
            <w:vAlign w:val="bottom"/>
            <w:gridSpan w:val="2"/>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48 hours</w:t>
            </w:r>
          </w:p>
        </w:tc>
        <w:tc>
          <w:tcPr>
            <w:tcW w:w="20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30 days</w:t>
            </w:r>
          </w:p>
        </w:tc>
      </w:tr>
      <w:tr>
        <w:trPr>
          <w:trHeight w:val="238"/>
        </w:trPr>
        <w:tc>
          <w:tcPr>
            <w:tcW w:w="6900" w:type="dxa"/>
            <w:vAlign w:val="bottom"/>
          </w:tcPr>
          <w:p>
            <w:pPr>
              <w:spacing w:after="0"/>
              <w:rPr>
                <w:sz w:val="20"/>
                <w:szCs w:val="20"/>
                <w:color w:val="auto"/>
              </w:rPr>
            </w:pPr>
          </w:p>
        </w:tc>
        <w:tc>
          <w:tcPr>
            <w:tcW w:w="2280" w:type="dxa"/>
            <w:vAlign w:val="bottom"/>
            <w:gridSpan w:val="2"/>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n=27</w:t>
            </w:r>
          </w:p>
        </w:tc>
        <w:tc>
          <w:tcPr>
            <w:tcW w:w="206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n=26</w:t>
            </w:r>
          </w:p>
        </w:tc>
      </w:tr>
      <w:tr>
        <w:trPr>
          <w:trHeight w:val="210"/>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Subjects with new Acute Ischemic Lesions (“AIL”)</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Incidence of new lesions</w:t>
            </w:r>
          </w:p>
        </w:tc>
        <w:tc>
          <w:tcPr>
            <w:tcW w:w="2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number new AIL</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83</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Avg. number new AIL per patient</w:t>
            </w: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3.19 ± 10.33</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0.04 ± 0.20</w:t>
            </w:r>
          </w:p>
        </w:tc>
      </w:tr>
      <w:tr>
        <w:trPr>
          <w:trHeight w:val="257"/>
        </w:trPr>
        <w:tc>
          <w:tcPr>
            <w:tcW w:w="69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Average lesion volume (cm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0.039 ± 0.08</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0.08 ± 0.00</w:t>
            </w:r>
          </w:p>
        </w:tc>
      </w:tr>
      <w:tr>
        <w:trPr>
          <w:trHeight w:val="257"/>
        </w:trPr>
        <w:tc>
          <w:tcPr>
            <w:tcW w:w="69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Maximum lesion volume (cm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w:t>
            </w:r>
          </w:p>
        </w:tc>
        <w:tc>
          <w:tcPr>
            <w:tcW w:w="2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0.445</w:t>
            </w:r>
          </w:p>
        </w:tc>
        <w:tc>
          <w:tcPr>
            <w:tcW w:w="2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0.116</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AIL at 30 days</w:t>
            </w:r>
          </w:p>
        </w:tc>
        <w:tc>
          <w:tcPr>
            <w:tcW w:w="2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healing process of the tissue and in-stent restenosis can be measured by a non-invasive form of ultrasound called duplex ultrasound. This type of ultrasound measures the velocity of the blood that flows within the carotid arteries, which increases exponentially as the lumen of the internal carotid artery narrows and the percent stenosis increases. One of the measurements is called PSV (peak systolic volume) and is known to be highly correlated to the degree of in-stent restenosis; PSV values higher than 300 cm/sec are indicative of &gt;70% stenosis, while PSV values lower than 104 cm/sec are indicative of &lt;30% restenosis and healthy healing. In the CARENET trial, duplex ultrasound measurements done at 30 days, 6 months and 12 months following the stenting procedure all attest to healthy normal healing without restenosis concerns, as the PSV values were 60.96 cm/sec ± 22.31, 85.24 cm/sec ± 39.56, and 90.22 cm/sec ± 37.72 respectively. The internal carotid artery was patent in all patients (100%).</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conclusions of the CARENET trial were:</w:t>
      </w:r>
    </w:p>
    <w:p>
      <w:pPr>
        <w:spacing w:after="0" w:line="22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CARENET trial demonstrated safety of the CGuard EPS stent, with a 30 day MACCE rate of 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Incidence of new ipsilateral lesions (percent of patients with new lesions on the ipsilateral side (same side where the stent was employed)) at 48 hours was reduced by almost half compared to published data, and volume was reduced almost tenfold.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but one lesion had resolved completely by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Twelve-month data showed no stroke or stroke-related deaths, and no cardiac adverse events.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Five-year data showed no ipsilateral stroke or ipsilateral stroke-related deaths, and no stent restenosis or external carotid artery occlusion occurred in CARENET by 5 years, indicating normal healing and uncompromised side-branch patency.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EPS offers enhanced benefits for patients undergoing CAS with unprecedented safety.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Physician-Sponsored Clinical Trials for CGuard—PARADIGM-101 and PARADIGM -500 Studies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PARADIGM-101 (</w:t>
      </w:r>
      <w:r>
        <w:rPr>
          <w:rFonts w:ascii="Times New Roman" w:cs="Times New Roman" w:eastAsia="Times New Roman" w:hAnsi="Times New Roman"/>
          <w:sz w:val="18"/>
          <w:szCs w:val="18"/>
          <w:b w:val="1"/>
          <w:bCs w:val="1"/>
          <w:u w:val="single" w:color="auto"/>
          <w:color w:val="auto"/>
        </w:rPr>
        <w:t>P</w:t>
      </w:r>
      <w:r>
        <w:rPr>
          <w:rFonts w:ascii="Times New Roman" w:cs="Times New Roman" w:eastAsia="Times New Roman" w:hAnsi="Times New Roman"/>
          <w:sz w:val="18"/>
          <w:szCs w:val="18"/>
          <w:color w:val="auto"/>
        </w:rPr>
        <w:t xml:space="preserve">rospective evaluation of </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ll-comer pe</w:t>
      </w: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8"/>
          <w:szCs w:val="18"/>
          <w:color w:val="auto"/>
        </w:rPr>
        <w:t>cutaneous c</w:t>
      </w: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8"/>
          <w:szCs w:val="18"/>
          <w:color w:val="auto"/>
        </w:rPr>
        <w:t>roti</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 xml:space="preserve"> revascularization </w:t>
      </w:r>
      <w:r>
        <w:rPr>
          <w:rFonts w:ascii="Times New Roman" w:cs="Times New Roman" w:eastAsia="Times New Roman" w:hAnsi="Times New Roman"/>
          <w:sz w:val="18"/>
          <w:szCs w:val="18"/>
          <w:b w:val="1"/>
          <w:bCs w:val="1"/>
          <w:u w:val="single" w:color="auto"/>
          <w:color w:val="auto"/>
        </w:rPr>
        <w:t>I</w:t>
      </w:r>
      <w:r>
        <w:rPr>
          <w:rFonts w:ascii="Times New Roman" w:cs="Times New Roman" w:eastAsia="Times New Roman" w:hAnsi="Times New Roman"/>
          <w:sz w:val="18"/>
          <w:szCs w:val="18"/>
          <w:color w:val="auto"/>
        </w:rPr>
        <w:t>n symptomatic and increased-risk asymptomatic carotid artery stenosis, using C</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 xml:space="preserve">uard™ </w:t>
      </w:r>
      <w:r>
        <w:rPr>
          <w:rFonts w:ascii="Times New Roman" w:cs="Times New Roman" w:eastAsia="Times New Roman" w:hAnsi="Times New Roman"/>
          <w:sz w:val="18"/>
          <w:szCs w:val="18"/>
          <w:b w:val="1"/>
          <w:bCs w:val="1"/>
          <w:u w:val="single" w:color="auto"/>
          <w:color w:val="auto"/>
        </w:rPr>
        <w:t>M</w:t>
      </w:r>
      <w:r>
        <w:rPr>
          <w:rFonts w:ascii="Times New Roman" w:cs="Times New Roman" w:eastAsia="Times New Roman" w:hAnsi="Times New Roman"/>
          <w:sz w:val="18"/>
          <w:szCs w:val="18"/>
          <w:color w:val="auto"/>
        </w:rPr>
        <w:t>esh-covered embolic prevention stent system-101) was an investigator-led, single center study with the objective of evaluating feasibility and outcome of routine use of CGuard EPS in 101 consecutive unselected all-comer patients referred for carotid revascularization, initiated in 2015. In May 2016, the 30-day results were presented at the EuroPCR 2016 Late-Breaking Clinical Trial Session in Paris, and in the Journal of EuroIntervention. In Dec 2020, the 12 month results were presented in the Official Journal of the EuroPCR and the European Association of Percutaneous Coronary Interventions, EuroIntervention 2020;16:e950-e952. DOI: 10.4244/EIJ-D-19-01014) Key findings from the PARADIGM-101 study and the follow-up data are as follows:</w:t>
      </w:r>
    </w:p>
    <w:p>
      <w:pPr>
        <w:spacing w:after="0" w:line="18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EPS delivery success was 99.1%. The clinical evaluation also found no device foreshortening or elongation;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Angiographic diameter stenosis or vessel narrowing was reduced from 83±9% to only 6.7±5% (p&lt;0.001);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Periprocedural death/major stroke/ myocardial infarction (“MI”) rates were 0%;</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30 days and 12 months, there were no strokes or stroke-related deaths. There were four non -device related deaths (heart failure exacerbation, urosepsis, pulmonary embolism and microcellular pulmonary cancer).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results of the PARADIGM-101 study demonstrated that CGuard EPS can safely be used in a high risk, all-comer population of patients with carotid artery stenosis and indicated that routine use of CGuard EPS may prevent cerebral events, such as strokes, by holding plaque against the vessel wall, preventing emboli from being released into the blood stream. The PARADIGM-101 study found that CGuard EPS is applicable in up to 90% of all-comer patients with carotid stenosis.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PARADIGM-500 (prospective evaluation of all-comer percutaneous carotid revascularization in symptomatic and increased-risk asymptomatic carotid artery stenosis, using CGuard™ mesh-covered embolic prevention stent system-500) is an investigator-initiated, single center study designed to evaluate the outcomes of routine CGuard EPS in consecutive all-comer patients accepted by a multidisciplinary committee for carotid revascularisation. The PARADIGM-500 study is an extension of the of PARADIGM-101 study, which was initiated in 2015.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 update of the PARADIGM-500 study was presented at the Veith 2024 conference in New York, held from November 19-23, 2024. Key findings were:</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30-day death or stroke rate of 0.75%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30-day death, stroke and myocardial infarction (DSMI) rate of 0.94%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12-month freedom from ipsilateral stroke, in stent restenosis (ISR) and target lesion revascularization (TLR) combined rate of 99.6%</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12-month, the ISR rate (by Core Lab) is lower than those reported in the literature of first-generation stents (Naylor R, et al. European Society for Vascular Surgery (ESVS) 2023 Clinical Practice Guidelines on the Management of Atherosclerotic Carotid and Vertebral Artery Disease. Eur J Vasc Endovasc Surg. 2023).</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cases of stent thrombosis (0%) with CGuard EPS through 12 months of follow up</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Paradigm-500 study confirms that carotid artery stenting (CAS) with the CGuard EPS stent delivers reliable and low rates of 30-day composite DSMI, 12-month ipsilateral stroke, ISR and no instances of stent thrombosis in a wide range of patient at standard and high risk for CEA.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Clinical Results and Mechanical Properties of the Carotid CGUARD Double-Layered Embolic Prevention Stent Study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“Clinical Results and Mechanical Properties of the Carotid CGUARD Double-Layered Embolic Prevention Stent Study” was an investigator-led, prospective single-center study which evaluated CGuard EPS in 30 consecutive patients with internal carotid artery stenosis disease with the objective of reporting early clinical outcomes with a novel MicroNet covered stent for the internal carotid artery and the in vitro investigation of the device’s mechanical properties. In October 2016, the 30-day positive results were published online-ahead-of-print in the Journal of Endovascular Therapy.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Key findings from the study are as follows: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 without residual stenosis;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peri- or post-procedural complications;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deaths, major adverse events, minor or major strokes, or new neurologic symptoms during the six months following the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Rankin Scale improved for the symptomatic patients from 1.56 prior to the procedure to 0 afterwards;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vessels treated with CGuard EPS remained patent (open) at six months;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performed in 19 of 30 patients found no new ipsilateral lesions after 30 days and after six months compared with the baseline DW-MRI studies.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based on engineering evaluations, the study concluded that CGuard EPS provides a high radial force and strong support in stenotic lesions. The stent is easy to use and safe to implant because it does not foreshorten and its structure adapts well to changes in diameter and direction of tortuous vascular anatomies. The MicroNet mesh of CGuard did not cause any changes to specific mechanical parameters of the underlying stent.</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Safety and Efficacy of the New Micromesh-Covered Stent CGuard in Patients Undergoing Carotid Artery Stenting: Early Experience From a Single Center</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“Safety and Efficacy of the New Micromesh-Covered Stent CGuard in Patients Undergoing Carotid Artery Stenting: Early Experience From a Single Center” was an investigator-led, single-center study which evaluated CGuard EPS in 82 consecutive patients. The aim of the study was to evaluate the safety (technical success) and efficacy (clinical success) of the CGuard stent system – a new nitinol stent covered by a closed-cell polyethylene and terephthalate mesh designed to prevent embolic events. In 2017, the 30-day positive results were published online-ahead-of-print in the European Journal of Vascular and Endovascular Surgery (2017), https://doi.org/10.1016/j.ejvs.2017.09.015.</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are as follows: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case of acute stent thrombosis occurred within 4 hours of the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minor stroke was recorded within the peri-operative period following the acute stent thrombosis, mentioned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new adverse neurological events were recorded at the post-operative period.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was performed to assess the occurrence of new ischaemic brain lesions from the target vessel following placement of the CGuard stent peri- (48-72 hours) and post-operatively (30 days) in 21 and 11 patients, respectively. Five of 21 patients (23.8%) had new ischaemic brain lesions peri-operatively (48-72 hours) on the ipsilateral side, for a total number of 30 lesions, with an average lesion volume of 0.039 +/- 0.025 cm3. Four patients (19.1%) had new ischaemic brain lesions on the contralateral side, for a total number of nine lesions, with an average lesion volume of 0.019 +/- 0.011 cm3 (range 0.016-0.034 cm3). At the postoperative period, spontaneous resolution was noted in all the lesions recorded in the peri-operative period in the 11 patients participating. Only one symptomatic patient had two new ischaemic brain lesions (1 ipsilateral and 1 contralateral).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CGUARD Mesh-Covered Stent in Real World: The IRON-Guard Registry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“CGUARD Mesh-Covered Stent in Real World: The IRON-Guard Registry using CGuard EPS” was a physician initiated prospective multi-center registry that included 200 patients from 12 medical centers in Italy. The objective of the study was to report 30-day outcomes (including MACCE) in a prospective series of patients who were treated with CGuard EPS between April 2015 and June 2016. In January 2017, 30-day results were presented at the Leipzig Interventional Course (LINC) 2017 and published in the Journal of EuroIntervention in May 2017. The 12-month follow-up was published in the Journal of EuroIntevention in October 2018.</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30-day results presented were:</w:t>
      </w:r>
    </w:p>
    <w:p>
      <w:pPr>
        <w:spacing w:after="0" w:line="225"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 major stroke or death at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two transient ischemic attacks and five periprocedural minor strokes, including one thrombosis solved by surgery.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elimination of post-procedural neurologic complications by 30 days;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DW-MRI performed pre-procedure and between 24- and 72-hours post-procedure in 61 patients, indicated that 12 patients had new micro emboli (19%).</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12-month, there were no new major neurological adverse events, thrombosis or external carotid occlusion recorded;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myocardial infarction occurred at 12 months.</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Initial Clinical Study of the New CGuard EPS MicroNet Covered Carotid Stent: “One Size Fits All”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“Initial Clinical Study of the New CGuard EPS MicroNet Covered Carotid Stent: ‘One Size Fits All’” was an investigator-led, single-center study, which evaluated CGuard EPS in 30 consecutive patients with symptomatic stenosis of the internal carotid artery with the objective of evaluating the CGuard EPS MicroNet covered stent for its ability to adjust to different vessel diameters. The results of the study were published in the Journal of Endovascular Therapy in May 2019. The conclusion of the study as reported was that CGuard EPS has high conformability combined with an almost equivalent outward radial force at expansion diameters ranging from 5.5 to 9.0 mm. The first clinical results demonstrate the “One Size Fits All” stent can be implanted in internal carotid arteries with reference diameters within this range.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Key findings from the study were as follows:</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technical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neurological events within 30 days;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chronic outward force normalized by stent length demonstrated a near-equivalent radial force outcome;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stent displayed only a minor difference between the minimal radial force at 9.0 mm (0.195 N/mm) and the maximal radial force at 5.5 mm (0.330 N/mm).</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Preliminary Results from a Prospective Real-World Multicenter Clinical Practice of Carotid Artery Stenting Using the CGuard Embolic Prevention System: The IRONGUARD 2 Study</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“Preliminary Results From a Prospective Real-World Multicenter Clinical Practice of Carotid Artery Stenting Using the CGuard Embolic Prevention System: The IRONGUARD 2 Study” is a physician initiated prospective multi-center registry enrolling 733 patients from 20 medical centers in Italy, from January 2017 to June 2019. The objective of the study is to evaluate periprocedural (24 hours), post-procedural (up to 30 days), and 12-month outcomes in a largest, prospective, multicenter series of patients submitted for protected carotid artery stenting with the CGuard Embolic Prevention System. The 24-hour, 30-day and 12-month preliminary results (data available on 726 patients out of the 733 treated) were presented at the Leipzig Interventional Course (LINC) in January 2021. The study’s preliminary results from the IRONGUAURD 2 study suggested in a real-world evaluation of carotid artery stenting, CGuard EPS can be safely used for treatment of extracranial carotid artery stenosis, allowing a low rate of post procedural adverse events by 12 months.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18"/>
          <w:szCs w:val="18"/>
          <w:color w:val="auto"/>
        </w:rPr>
        <w:t>Key findings from the study are as follows: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procedural success in implanting CGuard EPS;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death from hemorrhagic stroke (patient was admitted for immediate treatment of CAS due to stroke), 2 minor strokes, 6 TIAs and one nonfatal AMI at 24 hours;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minor stroke, 2 TIAs, three AMIs, no deaths and no stent thrombosis/occlusions between 24 hours and 30 days;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minor stroke, 4 TIAs, 2 AMIs and 8 deaths (the 2 mentioned AMIs, 4 malignancies, 1 suicide and 1 undefined complication in Guillain-Barré Syndrome) between 30 days and 1 year.</w:t>
      </w:r>
    </w:p>
    <w:p>
      <w:pPr>
        <w:spacing w:after="0" w:line="15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Thirty-Day Results of the Novel CGuard-Covered Stent in Patients Undergoing Carotid Artery Stenting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“Thirty-Day Results of the Novel CGuard-Covered Stent in Patients Undergoing Carotid Artery Stenting” was an investigator-led, prospective single-center study which evaluated CGuard EPS in 103 patients that underwent carotid artery stenting procedures. The aim of the study was to provide early-term evaluation, safety, and efficacy of the novel CGuard micromesh self-expanding stent with embolic protection system (EPS). In April 2021, the 30-day positive results were published in the Journal of Endovascular Therapy, DOI: 10.1177/15266028211007466.</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Key findings from the study are as follows:</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technical success was achieved in all patients: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major adverse events (death, stroke, or myocardial infarction) at 30 days.</w:t>
      </w:r>
    </w:p>
    <w:p>
      <w:pPr>
        <w:spacing w:after="0" w:line="22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SIBERIA Trial for Carotid Artery Stenosis: A Randomized Controlled Trial of Conventional Versus Micronet™-Covered Stent Use in Percutaneous Neuroprotected Carotid Artery Revascularization: Peri-procedural and 30-day Diffusion-Weighted Magnetic Resonance Imaging and Clinical Outcomes (RCT trial)</w:t>
      </w:r>
    </w:p>
    <w:p>
      <w:pPr>
        <w:spacing w:after="0" w:line="17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SIBERIA Trial for Carotid Artery Stenosis: A Randomized Controlled Trial of Conventional Versus Micronet™-Covered Stent Use in Percutaneous Neuroprotected Carotid Artery Revascularization: Peri-procedural and 30-day Diffusion-Weighted Magnetic Resonance Imaging and Clinical Outcomes” was an investigator-initiated randomized clinical trial, single-center study, which evaluated one hundred patients who qualified for carotid</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revascularization with high risk for surgery and were randomized 1:1 to either CGuard EPS or Acculink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The primary endpoints were incidence and volume of new cerebral embolic post-procedural lesions (24-48 hours) as determined by diffusion weighted magnetic resonance imaging (DW-MRI). The principal secondary endpoints included incidence of periprocedural or postprocedural stroke, myocardial infarction and death at 30 days. The 30-day results of the study were presented in a late-breaking session at the EuroPCR in June 2020 and published (Randomized Controlled Trial of Conventional Versus MicroNet-Covered Stent in Carotid Artery Revascularization, JACC Cardiovascular Interventions, Vol. 14, November 21, 2021). The conclusion of the study was that the CGuard™ Micronet™-covered stent use in consecutive unselected patients subjected to neuroprotected carotid artery stenting was associated with a greater than three-fold reduction in the procedure-generated mean cerebral lesion volume, and with zero post-procedural cerebral embolisms observed. The MicroNet covered stent significantly reduced periprocedural and abolished post procedural cerebral embolism in relation to a conventional carotid stent. This is consistent with the MicroNet covered stent’s sustained embolism prevention, translating into cerebral protection not only during but after carotid artery stenting. The incidence of restenosis and vessel occlusion according to the ICA (internal carotid artery) ultrasound and the incidence of strokes, myocardial infarctions or deaths between the study arms at 365 days were presented at the LINC conference in Leipzig, Germany in June, 2022. The 12-month outcomes demonstrated a significantly higher prevalence of the combined endpoint of death, stroke or myocardial infarctions</w:t>
      </w:r>
    </w:p>
    <w:p>
      <w:pPr>
        <w:jc w:val="both"/>
        <w:spacing w:after="0" w:line="209" w:lineRule="auto"/>
        <w:rPr>
          <w:sz w:val="20"/>
          <w:szCs w:val="20"/>
          <w:color w:val="auto"/>
        </w:rPr>
      </w:pPr>
      <w:r>
        <w:rPr>
          <w:rFonts w:ascii="Times New Roman" w:cs="Times New Roman" w:eastAsia="Times New Roman" w:hAnsi="Times New Roman"/>
          <w:sz w:val="18"/>
          <w:szCs w:val="18"/>
          <w:color w:val="auto"/>
        </w:rPr>
        <w:t>and in-stent restenosis and vessel occlusion rate in the first generation (single layer) carotid stent, Acculink</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versus the MicroNet-Covered Stent, CGuard™.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left="660"/>
        <w:spacing w:after="0"/>
        <w:rPr>
          <w:sz w:val="20"/>
          <w:szCs w:val="20"/>
          <w:color w:val="auto"/>
        </w:rPr>
      </w:pPr>
      <w:r>
        <w:rPr>
          <w:rFonts w:ascii="Times New Roman" w:cs="Times New Roman" w:eastAsia="Times New Roman" w:hAnsi="Times New Roman"/>
          <w:sz w:val="18"/>
          <w:szCs w:val="18"/>
          <w:color w:val="auto"/>
        </w:rPr>
        <w:t>Key findings from the study are as follows:</w:t>
      </w:r>
    </w:p>
    <w:p>
      <w:pPr>
        <w:spacing w:after="0" w:line="229" w:lineRule="exact"/>
        <w:rPr>
          <w:sz w:val="20"/>
          <w:szCs w:val="20"/>
          <w:color w:val="auto"/>
        </w:rPr>
      </w:pPr>
    </w:p>
    <w:p>
      <w:pPr>
        <w:ind w:left="660" w:hanging="328"/>
        <w:spacing w:after="0" w:line="208" w:lineRule="auto"/>
        <w:tabs>
          <w:tab w:leader="none" w:pos="66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Peri Procedure, the CGuard™ arm was observed to have a 57% reduction in new cerebral lesion average volume per patient (171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73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statistically significant improvement (p=0.017) and 222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84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(p=0.038);</w:t>
      </w:r>
    </w:p>
    <w:p>
      <w:pPr>
        <w:spacing w:after="0" w:line="81" w:lineRule="exact"/>
        <w:rPr>
          <w:rFonts w:ascii="Times New Roman" w:cs="Times New Roman" w:eastAsia="Times New Roman" w:hAnsi="Times New Roman"/>
          <w:sz w:val="36"/>
          <w:szCs w:val="36"/>
          <w:color w:val="auto"/>
          <w:vertAlign w:val="superscript"/>
        </w:rPr>
      </w:pPr>
    </w:p>
    <w:p>
      <w:pPr>
        <w:ind w:left="660" w:hanging="328"/>
        <w:spacing w:after="0" w:line="208" w:lineRule="auto"/>
        <w:tabs>
          <w:tab w:leader="none" w:pos="660" w:val="left"/>
        </w:tabs>
        <w:numPr>
          <w:ilvl w:val="0"/>
          <w:numId w:val="1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Post Procedure (24-48 hours), the CGuard™ arm was observed to have a 78% reduction in the average volume of new cerebral lesions (157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xml:space="preserve"> vs. 700 mm</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color w:val="auto"/>
        </w:rPr>
        <w:t>), a statistically significant improvement (p=0.007);</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days, DW-MRI showed zero new cerebral lessons in the CGuard™ arm versus six in the Acculink™ arm (p=0.03);</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30 days, there were zero strokes, myocardial infarctions or deaths in the CGuard arm and two events the Acculink™ arm (two strokes);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365 there were zero cases of restenosis and vessel occlusion in the CGuard™ arm versus 3 cases of restenosis and 1 case of vessel occlusion in the Acculink™ arm;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365 days, there were one event in the CGuard arm (one death) and five events the Acculink™ arm (two strokes, two deaths and one myocardial infarction).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and Planned Clinical Trials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C-GUARDIANS is a prospective, multicenter, single-arm, pivotal study to evaluate the safety and efficacy of the CGuard Carotid Stent System when used to treat symptomatic and asymptomatic carotid artery stenosis in patients undergoing carotid artery stenting.</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study completed enrollment in June 2023. The primary endpoint is a composite of: (1) incidence of major adverse events including Death (all-cause mortality), any Stroke, and Myocardial Infarction (DSMI) through 30-days post index procedure, or (2) ipsilateral stroke from day 31 to day 365 post-procedure. All events are adjudicated by an independent clinical events committee. The composite index will be compared to a performance goal based on the observed rate of the two components of the primary endpoint from previous pivotal stent trials which are considered industry standard. The performance goal will be considered met if the upper bound of the two-sided 95% confidence interval calculated from the observed primary endpoint rate is &lt; 11.6% and the p-value is less than 0.025.</w:t>
      </w:r>
    </w:p>
    <w:p>
      <w:pPr>
        <w:spacing w:after="0" w:line="18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From July 2021 to June 2023, 316 patients were prospectively enrolled at 24 sites in the US and the EU and from April 2023 included deployment of the CGuard stent using CGuard Prime, our next generation CAS stent platform. All CAS procedures were performed utilizing the CGuard MicroNet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mesh covered stent and cleared intra-procedural cerebral protection distal embolic filters or proximal embolic protection with flow cessation, or both. At 30 days, the hierarchical DSMI rate was 0.95% in the intent to treat (ITT) analysis and 0.63% in the per- protocol (PP) analysis. Three patients experienced major adverse cardiovascular events by 30-days: one patient who did not take dual antiplatelet therapy (protocol violation) had a major stroke and died and two other patients had a stroke. There was no myocardial infarction (MI). These results support a potential “neuroprotective” effect of the CGuard stent from the procedure to 30 days follow-up.</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28, 2024, we announced positive one-year follow up results from the C-GUARDIANS trial of the CGuard™ Carotid Stent Systemin which stenting with the CGuard Carotid Stent System in patients with carotid artery stenosis and at high risk for carotid endarterectomy had a 30-day DSMI and Ipsilateral stroke between 31 and 365 days rate of 1.95%, measured from procedure to 1-year follow-up in the ITT analysis, using Kaplan-Meier method. The primary endpoint rate was 1.71% in the per-protocol population.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16, 2024, we submitted the clinical module of the PMA, which is currently under interactive review with the FDA.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Early Feasibility Study of CGuard EPS for Acute Stroke Patients with Tandem Lesions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we announced the entry into a strategic agreement with the Jacobs Institute at the State University of New York at Buffalo to execute an early feasibility study of CGuard Carotid Stent System for the treatment of acute stroke patients with tandem lesions. The study, a prospective, single center, single-arm, open label, non-blinded study is expected to enroll 15 acute stroke patients across three U.S. sites to assess the safety and feasibility of using CGuard Carotid Stent System to treat acute ischemic stroke patients with tandem lesions. of Dr. Adnan Siddiqui, Vice-Chairman and Professor of Neurosurgery at the State University of New York at Buffalo, CEO of the Jacobs Institute, is the Principal Investigator for the study. We began enrollment in the first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 II for TCAR procedures</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3, 2024, FDA approved our IDE for CGUARDIANS II, a multicenter, single-arm, pivotal study to evaluate the safety and efficacy of the CGuard Prime 80cm carotid stent system used in conjunction with the ENROUTE NPS during Transcarotid Artery Revascularization (TCAR) procedure. Patrick Geraghty, M.D., professor of surgery and radiology, section of vascular surgery at Washington University School of Medicine in St. Louis, MO, and Patrick Muck, M.D., program director and chief of vascular surgery at Good Samaritan Hospital in Cincinnati, OH, are lead principal investigators for the trial. The study enrolled its first patient on December 16, 2024 and aims to enroll a minimum of 50 evaluable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CGUARDIANS III for TCAR procedures using SwitchGuard NPS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SwitchGuard™ NPS is designed to allow the treating physician to reverse cerebral blood flow during a TCAR procedure. SwitchGuard™ is intended to prevent embolic debris generated during the procedure from traveling to the brain, passing the blood through the filter before returning it to the patient to minimize blood loss.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December 30, 2024, we submitted an IDE to the FDA for CGUARDIANS III, a multicenter, single-arm, pivotal study to evaluate the safety and efficacy of the SwitchGuard NPS used in conjunction with the CGuard Prime 80cm Carotid Stent System for providing cerebral embolic protection during carotid artery stenting via the Transcarotid Artery Revascularization (TCAR) approach. The IDE submission is currently under review at the FDA.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business objective is to utilize our proprietary MicroNet technology and products to become the industry standard for the treatment of carotid disease and prevention of stroke and to provide a superior solution to the common acute problems caused by current stenting procedures, such as restenosis, embolization and thrombosis. We are pursuing the following business strategies to achieve these objectives.</w:t>
      </w:r>
    </w:p>
    <w:p>
      <w:pPr>
        <w:spacing w:after="0" w:line="172" w:lineRule="exact"/>
        <w:rPr>
          <w:sz w:val="20"/>
          <w:szCs w:val="20"/>
          <w:color w:val="auto"/>
        </w:rPr>
      </w:pPr>
    </w:p>
    <w:p>
      <w:pPr>
        <w:jc w:val="both"/>
        <w:ind w:left="340" w:hanging="332"/>
        <w:spacing w:after="0" w:line="25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 our presence in existing and new markets for CGuard EPS</w:t>
      </w:r>
      <w:r>
        <w:rPr>
          <w:rFonts w:ascii="Times New Roman" w:cs="Times New Roman" w:eastAsia="Times New Roman" w:hAnsi="Times New Roman"/>
          <w:sz w:val="18"/>
          <w:szCs w:val="18"/>
          <w:color w:val="auto"/>
        </w:rPr>
        <w:t>. We are focused on growing our presence in the U.S. market through a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organization, pending FDA approval of CGuard Prime and to this end have been building the infrastructure for U.S. commercial operations. In addition, we have launched CGuard EPS in most European and Latin American countries through a comprehensive distributor sales organizations network. We are continuing to focus on larger growing markets through this network by supporting our distributors with robust marketing and clinical education programs. We are pursuing additional product registrations and distribution contracts with local distributors in other countries in Europe, Asia and Latin America. In February 2021, we executed a distribution agreement with Chinese partners for the purpose of expanding our presence in China. Currently, we are seeking strategic partners for a potential launch of CGuard EPS in Asian countries.</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Widen the adoption of CGuard</w:t>
      </w:r>
      <w:r>
        <w:rPr>
          <w:rFonts w:ascii="Times New Roman" w:cs="Times New Roman" w:eastAsia="Times New Roman" w:hAnsi="Times New Roman"/>
          <w:sz w:val="18"/>
          <w:szCs w:val="18"/>
          <w:color w:val="auto"/>
        </w:rPr>
        <w:t>. We are seeking to expand the population of CGuard patients in those countries in which CGuard is commercially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available. In particular, our focus is on establishing CGuard as a viable alternative (in appropriate cases) to carotid endarterectomy and the use of conventional carotid stents within the applicable medical communities. We intend to accomplish this goal by continuing to publish and present our clinical data, supporting investigator-initiated clinical registries and exploring the addition of additional devices to our portfolio, including the SwithchGuard NPS for use in TCAR cases. We have partnered and will continue to seek out partnerships with organizations focused on the treatment of stroke. We will also continue to engage advisory boards and to develop a network of key opinion leaders to assist us in our efforts to widen the adoption of CGuard.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jc w:val="both"/>
        <w:ind w:left="340" w:hanging="332"/>
        <w:spacing w:after="0" w:line="26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Portfolio expansion and pipeline development </w:t>
      </w:r>
      <w:r>
        <w:rPr>
          <w:rFonts w:ascii="Times New Roman" w:cs="Times New Roman" w:eastAsia="Times New Roman" w:hAnsi="Times New Roman"/>
          <w:sz w:val="18"/>
          <w:szCs w:val="18"/>
          <w:color w:val="auto"/>
        </w:rPr>
        <w:t>We plan to continue to invest in advancing our portfolio with new delivery system alternatives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facilitate the use of CGuard and SwitchGuard by all physicians. We believe our delivery systems, if approved, will enable all endovascular access points including accessory devices for trans carotid artery revascularization</w:t>
      </w:r>
      <w:r>
        <w:rPr>
          <w:rFonts w:ascii="Times New Roman" w:cs="Times New Roman" w:eastAsia="Times New Roman" w:hAnsi="Times New Roman"/>
          <w:sz w:val="18"/>
          <w:szCs w:val="18"/>
          <w:b w:val="1"/>
          <w:bCs w:val="1"/>
          <w:color w:val="auto"/>
        </w:rPr>
        <w: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CMS approval of National Coverage Determination (NCD) </w:t>
      </w:r>
      <w:r>
        <w:rPr>
          <w:rFonts w:ascii="Times New Roman" w:cs="Times New Roman" w:eastAsia="Times New Roman" w:hAnsi="Times New Roman"/>
          <w:sz w:val="18"/>
          <w:szCs w:val="18"/>
          <w:color w:val="auto"/>
        </w:rPr>
        <w:t>– On October 11 2023, CMS issued an NCD covering the use of carotid stents (both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 and TCAR) for the treatment of both symptomatic and asymptomatic patients either at high- or standard-surgical risk. This decision significantly increases the available market to endovascular procedures. Previously, only symptomatic patients at high-risk to surgery were covered through the CMS coverage, NCA - Percutaneous Transluminal Angioplasty (PTA) of the Carotid Artery Concurrent with Stenting (CAG-00085R8) - Tracking Sheet (cms.gov)</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 to leverage our MicroNet technology to develop additional applications for interventional cardiologists and vascular surgeons.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the applications described above, we believe that we will eventually be able to utilize our proprietary MicroNet technology to address imminent market needs for new product innovations to significantly improve patient care. We continue to broadly develop and protect intellectual property using our mesh technology. Examples of some areas include peripheral vascular disease and neurovascular disease.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 relationships with collaborative and development partners to fully develop and market our existing and future products. </w:t>
      </w:r>
      <w:r>
        <w:rPr>
          <w:rFonts w:ascii="Times New Roman" w:cs="Times New Roman" w:eastAsia="Times New Roman" w:hAnsi="Times New Roman"/>
          <w:sz w:val="18"/>
          <w:szCs w:val="18"/>
          <w:color w:val="auto"/>
        </w:rPr>
        <w:t>We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seeking strategic partners for collaborative research, development, marketing, distribution, or other agreements, which could assist with our development and commercialization efforts for CGuard and other potential products that are based on our MicroNet technology.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markets in which we compete are highly competitive, subject to change and impacted by new product introductions and other activities of industry participants.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Carotid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competition for our carotid embolic prevention system, CGuard EPS, the manufacturers of products used in connection with CAS procedures include a number of large companies, such as Abbott Laboratories, Boston Scientific Corporation, Medtronic, Cordis Corporation and Terumo Medical Corporation.</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Many of these competitors are larger companies or divisions of publicly traded companies that have certain competitive advantages, including greater capital resources, larger customer bases, broader product lines, larger sales forces, greater marketing and management resources, larger research and development staffs and larger facilities than ours and have established reputations, relationships with our target customers and worldwide distribution methods that are more effective than ours. However, while there are currently many market participants in the U.S. carotid stent market, we believe that the European market is somewhat more fragmented for CAS products, and, in our opinion, smaller competitors may be able to gain market share with greater flexibility and more efficiency than in the United States.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We believe the principal competitive factors in our market include the following:</w:t>
      </w:r>
    </w:p>
    <w:p>
      <w:pPr>
        <w:spacing w:after="0" w:line="225"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 of clinical evidence- patient outcomes and adverse event rates</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and effectiveness of commercialization efforts/organizations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treating physicians and referral sources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 learning curve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Ease-of-use and reliability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benefits and cost savings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experience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to support the anticipated U.S. launch and commercialization of the CGuard Prime carotid stent system. During 2024, we started the build-out of the infrastructure for commercial operations in the U.S. designed to support the anticipated commercialization of the CGuard Prime carotid stent system.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designing our commercial strategy and building our direct sales force to drive CGuard Prime penetration within the community of interventionalists. In parallel, we aim at transitioning vascular surgeons from carotid endarterectomy procedures to CAS and TCAR with CGuard and accessory devices, which we believe can greatly expand our customer base. We plan to continue to focus our marketing efforts on key growth markets and to evaluate opportunities in new territories as they become available. In addition, we are using international medical conferences to gain market exposure and brand recognition. We continue to work with leading physicians to enhance our marketing efforts and are developing relationships with new key opinion leaders to champion our technology and work with us in clinical studies.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we plan to market and sell the CGuard Prime carotid stent system through a direct sales organization consisting of 15 sales and clinical support personnel, as of March 12, 2025. Our sales professionals have substantial experience launching and establishing new disruptive therapies and converting open surgical procedures to minimally-invasive alternatives. We are continuing to expand our commercialization capabilities and to build our distribution capabilities to support the anticipated commercialization of the CGuard Prime carotid stent system. At this time, we do not have any commercially approved medical devices in the US, and we have not registered as an establishment with the FDA.</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Previously, based on the positive CGuard EPS clinical data, we initiated the commercial launch of CGuard EPS in CE marked countries in early 2015. In September 2015, we announced full market launch of CGuard EPS in Europe. Since 2017 we have focused on sales of our products through local distribution partners and our own internal sales initiatives to gain greater reach into all the relevant clinical specialties and to expand our geographic coverage.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Positioning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CGuard has the potential to become the standard of care in treating carotid artery disease. It is a second-generation stent with positive patient outcomes demonstrating significant reduction in post-procedural neurological events.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intend to continue to evaluate potential product and manufacturing enhancements for CGuard expected to reduce cost of goods or provide the best-in-class performing delivery system and accessory solutions. We believe these improvements may allow us to reduce cost of goods and increase penetration in our existing geographies and better position us for entry into new markets.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Insurance Reimbursement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most countries have established reimbursement codes for stenting procedures, certain countries may require additional clinical data before recognizing coverage and/or to obtain a certain level of reimbursement for one or more of our products. In these situations, we intend to complete the required clinical studies to obtain reimbursement approval in countries where it makes economic sense to do so.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2023, CMS issued its final National Coverage Determination (“NCD”), expanding coverage of both CAS and TCAR to include both asymptomatic and standard risk patients, significantly expanding the U.S. addressable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66 issued patents, including 20 patents issued in the U.S., and 27 pending patent applications, 6 of which are pending in the United States. Many of these patents and applications cover aspects of our CGuard and MGuard technology. Patents outside the U.S. have been filed in Canada, China, Europe, Israel, India, Japan, Australia, and South Africa. The patents and applications fall into a number of patent families, as listed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Pending patent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Issued patents</w:t>
            </w:r>
          </w:p>
        </w:tc>
        <w:tc>
          <w:tcPr>
            <w:tcW w:w="1560" w:type="dxa"/>
            <w:vAlign w:val="bottom"/>
          </w:tcPr>
          <w:p>
            <w:pPr>
              <w:spacing w:after="0"/>
              <w:rPr>
                <w:sz w:val="18"/>
                <w:szCs w:val="18"/>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Base Title of Patent Family</w:t>
            </w: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(Country and Patent No.)</w:t>
            </w:r>
          </w:p>
        </w:tc>
        <w:tc>
          <w:tcPr>
            <w:tcW w:w="1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Date</w:t>
            </w:r>
          </w:p>
        </w:tc>
      </w:tr>
      <w:tr>
        <w:trPr>
          <w:trHeight w:val="191"/>
        </w:trPr>
        <w:tc>
          <w:tcPr>
            <w:tcW w:w="40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Bifurcated stent assemblies</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ind w:left="1180"/>
              <w:spacing w:after="0" w:line="191"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Borders>
              <w:top w:val="single" w:sz="8" w:color="auto"/>
            </w:tcBorders>
            <w:shd w:val="clear" w:color="auto" w:fill="CCEEFF"/>
          </w:tcPr>
          <w:p>
            <w:pPr>
              <w:ind w:left="120"/>
              <w:spacing w:after="0" w:line="191" w:lineRule="exact"/>
              <w:rPr>
                <w:sz w:val="20"/>
                <w:szCs w:val="20"/>
                <w:color w:val="auto"/>
              </w:rPr>
            </w:pPr>
            <w:r>
              <w:rPr>
                <w:rFonts w:ascii="Times New Roman" w:cs="Times New Roman" w:eastAsia="Times New Roman" w:hAnsi="Times New Roman"/>
                <w:sz w:val="18"/>
                <w:szCs w:val="18"/>
                <w:color w:val="auto"/>
              </w:rPr>
              <w:t>8,961,586</w:t>
            </w:r>
          </w:p>
        </w:tc>
        <w:tc>
          <w:tcPr>
            <w:tcW w:w="2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24-Feb-2015</w:t>
            </w:r>
          </w:p>
        </w:tc>
      </w:tr>
      <w:tr>
        <w:trPr>
          <w:trHeight w:val="234"/>
        </w:trPr>
        <w:tc>
          <w:tcPr>
            <w:tcW w:w="40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 20078046676.2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26-Sep-2012</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w w:val="99"/>
              </w:rPr>
              <w:t>Deformable tip for stent delivery and methods of use</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ind w:left="118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10,258,491</w:t>
            </w:r>
          </w:p>
        </w:tc>
        <w:tc>
          <w:tcPr>
            <w:tcW w:w="2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16-Apr-2019</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Israel</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260,945</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01-Jul-2020</w:t>
            </w:r>
          </w:p>
        </w:tc>
      </w:tr>
      <w:tr>
        <w:trPr>
          <w:trHeight w:val="198"/>
        </w:trPr>
        <w:tc>
          <w:tcPr>
            <w:tcW w:w="4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Handle for Two-Stage Deployment of a Stent</w:t>
            </w:r>
          </w:p>
        </w:tc>
        <w:tc>
          <w:tcPr>
            <w:tcW w:w="144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34"/>
        </w:trPr>
        <w:tc>
          <w:tcPr>
            <w:tcW w:w="40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11,839,561</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12-Dec-2023</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Shunts with Blood-Flow Indicators</w:t>
            </w:r>
          </w:p>
        </w:tc>
        <w:tc>
          <w:tcPr>
            <w:tcW w:w="14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11,844,893</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19-Dec-2023</w:t>
            </w: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 2022800089963</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26-Nov-2024</w:t>
            </w:r>
          </w:p>
        </w:tc>
      </w:tr>
      <w:tr>
        <w:trPr>
          <w:trHeight w:val="234"/>
        </w:trPr>
        <w:tc>
          <w:tcPr>
            <w:tcW w:w="406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7449627</w:t>
            </w: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06-Mar-2024</w:t>
            </w:r>
          </w:p>
        </w:tc>
      </w:tr>
      <w:tr>
        <w:trPr>
          <w:trHeight w:val="194"/>
        </w:trPr>
        <w:tc>
          <w:tcPr>
            <w:tcW w:w="40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Device for Shunting Blood Between the Arterial and</w:t>
            </w:r>
          </w:p>
        </w:tc>
        <w:tc>
          <w:tcPr>
            <w:tcW w:w="1440" w:type="dxa"/>
            <w:vAlign w:val="bottom"/>
            <w:gridSpan w:val="2"/>
            <w:shd w:val="clear" w:color="auto" w:fill="CCEEFF"/>
          </w:tcPr>
          <w:p>
            <w:pPr>
              <w:ind w:left="220"/>
              <w:spacing w:after="0" w:line="194" w:lineRule="exact"/>
              <w:rPr>
                <w:sz w:val="20"/>
                <w:szCs w:val="20"/>
                <w:color w:val="auto"/>
              </w:rPr>
            </w:pPr>
            <w:r>
              <w:rPr>
                <w:rFonts w:ascii="Times New Roman" w:cs="Times New Roman" w:eastAsia="Times New Roman" w:hAnsi="Times New Roman"/>
                <w:sz w:val="18"/>
                <w:szCs w:val="18"/>
                <w:color w:val="auto"/>
              </w:rPr>
              <w:t>Europe</w:t>
            </w:r>
          </w:p>
        </w:tc>
        <w:tc>
          <w:tcPr>
            <w:tcW w:w="3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r>
      <w:tr>
        <w:trPr>
          <w:trHeight w:val="22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Venous Systems</w:t>
            </w: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USA (CON)</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 (DIV)</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12,070,542</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27-Aug-2024</w:t>
            </w:r>
          </w:p>
        </w:tc>
      </w:tr>
      <w:tr>
        <w:trPr>
          <w:trHeight w:val="216"/>
        </w:trPr>
        <w:tc>
          <w:tcPr>
            <w:tcW w:w="40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 (DIV)</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 2022800098002</w:t>
            </w: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10-Sep-2024</w:t>
            </w:r>
          </w:p>
        </w:tc>
      </w:tr>
      <w:tr>
        <w:trPr>
          <w:trHeight w:val="234"/>
        </w:trPr>
        <w:tc>
          <w:tcPr>
            <w:tcW w:w="40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Hong Kong</w:t>
            </w:r>
          </w:p>
        </w:tc>
        <w:tc>
          <w:tcPr>
            <w:tcW w:w="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8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Japan</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7576884</w:t>
            </w: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24-Oct-2024</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Devices for shunting blood</w:t>
            </w:r>
          </w:p>
        </w:tc>
        <w:tc>
          <w:tcPr>
            <w:tcW w:w="144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China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Europe</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16"/>
        </w:trPr>
        <w:tc>
          <w:tcPr>
            <w:tcW w:w="4060" w:type="dxa"/>
            <w:vAlign w:val="bottom"/>
          </w:tcPr>
          <w:p>
            <w:pPr>
              <w:spacing w:after="0"/>
              <w:rPr>
                <w:sz w:val="18"/>
                <w:szCs w:val="18"/>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Japan</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 Vivo Filter Assembly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9,132,261</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15-Sep-2015</w:t>
            </w:r>
          </w:p>
        </w:tc>
      </w:tr>
      <w:tr>
        <w:trPr>
          <w:trHeight w:val="198"/>
        </w:trPr>
        <w:tc>
          <w:tcPr>
            <w:tcW w:w="40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Knitted Stent Jackets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tcPr>
          <w:p>
            <w:pPr>
              <w:jc w:val="right"/>
              <w:ind w:right="5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68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10,137,015</w:t>
            </w:r>
          </w:p>
        </w:tc>
        <w:tc>
          <w:tcPr>
            <w:tcW w:w="220" w:type="dxa"/>
            <w:vAlign w:val="bottom"/>
          </w:tcPr>
          <w:p>
            <w:pPr>
              <w:spacing w:after="0"/>
              <w:rPr>
                <w:sz w:val="17"/>
                <w:szCs w:val="17"/>
                <w:color w:val="auto"/>
              </w:rPr>
            </w:pPr>
          </w:p>
        </w:tc>
        <w:tc>
          <w:tcPr>
            <w:tcW w:w="1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27-Nov-2018</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ZL200780046697.4</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10-Oct-2012</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India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323792</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28-Oct-2019</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2666728</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23-Jun-2015</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China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ZL201210320950.3</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02-Dec-2015</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Canada</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2887189</w:t>
            </w:r>
          </w:p>
        </w:tc>
        <w:tc>
          <w:tcPr>
            <w:tcW w:w="2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01-May-2018</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Germany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216"/>
        </w:trPr>
        <w:tc>
          <w:tcPr>
            <w:tcW w:w="4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France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234"/>
        </w:trPr>
        <w:tc>
          <w:tcPr>
            <w:tcW w:w="4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EP2076212</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29-Mar-2017</w:t>
            </w:r>
          </w:p>
        </w:tc>
      </w:tr>
      <w:tr>
        <w:trPr>
          <w:trHeight w:val="432"/>
        </w:trPr>
        <w:tc>
          <w:tcPr>
            <w:tcW w:w="4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Optimized stent jacket</w:t>
            </w:r>
          </w:p>
        </w:tc>
        <w:tc>
          <w:tcPr>
            <w:tcW w:w="12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10,070,976</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11-Sep-2018</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Europe</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2670724</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11-Dec-2018</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ZL20078043259.2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02-Jan-2013</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India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297257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30-May-2018</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ZL201210454357.8</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09-Dec-2015</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9,132,003</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15-Sep-2015</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9,782,281</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9,526,644</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27-Dec-2016</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10,406,006</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10-Sep-2019</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Israel</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230,922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01-Oct-2020</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10,406,008</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10-Sep-2019</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11,051,959</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06-Jul-2021</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3,013,758</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14-Sep-2021</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Belgium</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Italy</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Luxembourg</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Netherlands</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2088962</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11-Oct-2017</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Europe</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09-Nov-2022</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09-Nov-2022</w:t>
            </w:r>
          </w:p>
        </w:tc>
      </w:tr>
      <w:tr>
        <w:trPr>
          <w:trHeight w:val="234"/>
        </w:trPr>
        <w:tc>
          <w:tcPr>
            <w:tcW w:w="4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EP3292837</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09-Nov-2022</w:t>
            </w: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Stent apparatus for treatment via body lumens and</w:t>
            </w:r>
          </w:p>
        </w:tc>
        <w:tc>
          <w:tcPr>
            <w:tcW w:w="12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Europe (Div)</w:t>
            </w:r>
          </w:p>
        </w:tc>
        <w:tc>
          <w:tcPr>
            <w:tcW w:w="24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Canada</w:t>
            </w:r>
          </w:p>
        </w:tc>
        <w:tc>
          <w:tcPr>
            <w:tcW w:w="17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2609687</w:t>
            </w:r>
          </w:p>
        </w:tc>
        <w:tc>
          <w:tcPr>
            <w:tcW w:w="1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22-Apr-2014</w:t>
            </w:r>
          </w:p>
        </w:tc>
      </w:tr>
      <w:tr>
        <w:trPr>
          <w:trHeight w:val="220"/>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methods of use</w:t>
            </w: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Europe</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South Africa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2007/10751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27-Oct-2010</w:t>
            </w:r>
          </w:p>
        </w:tc>
      </w:tr>
      <w:tr>
        <w:trPr>
          <w:trHeight w:val="216"/>
        </w:trPr>
        <w:tc>
          <w:tcPr>
            <w:tcW w:w="416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10,070,977</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11-Sep-2018</w:t>
            </w:r>
          </w:p>
        </w:tc>
      </w:tr>
      <w:tr>
        <w:trPr>
          <w:trHeight w:val="216"/>
        </w:trPr>
        <w:tc>
          <w:tcPr>
            <w:tcW w:w="416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USA</w:t>
            </w: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Canada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2843097</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27-Oct-2015</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10,058,440</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28-Aug-2018</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10,932,926</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02-Mar-2021</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Germany</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France</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UK</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Ireland</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216"/>
        </w:trPr>
        <w:tc>
          <w:tcPr>
            <w:tcW w:w="4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Italy</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234"/>
        </w:trPr>
        <w:tc>
          <w:tcPr>
            <w:tcW w:w="4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Switzerland</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EP1885281</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13-Feb-2019</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Stent Thermoforming Apparatus and Methods</w:t>
            </w:r>
          </w:p>
        </w:tc>
        <w:tc>
          <w:tcPr>
            <w:tcW w:w="1220" w:type="dxa"/>
            <w:vAlign w:val="bottom"/>
            <w:shd w:val="clear" w:color="auto" w:fill="CCEEFF"/>
          </w:tcPr>
          <w:p>
            <w:pPr>
              <w:spacing w:after="0"/>
              <w:rPr>
                <w:sz w:val="17"/>
                <w:szCs w:val="17"/>
                <w:color w:val="auto"/>
              </w:rPr>
            </w:pPr>
          </w:p>
        </w:tc>
        <w:tc>
          <w:tcPr>
            <w:tcW w:w="2400" w:type="dxa"/>
            <w:vAlign w:val="bottom"/>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9,527,234</w:t>
            </w:r>
          </w:p>
        </w:tc>
        <w:tc>
          <w:tcPr>
            <w:tcW w:w="1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27-Dec-2016</w:t>
            </w:r>
          </w:p>
        </w:tc>
      </w:tr>
      <w:tr>
        <w:trPr>
          <w:trHeight w:val="216"/>
        </w:trPr>
        <w:tc>
          <w:tcPr>
            <w:tcW w:w="4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USA</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10,376,393</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13-Aug-2019</w:t>
            </w:r>
          </w:p>
        </w:tc>
      </w:tr>
      <w:tr>
        <w:trPr>
          <w:trHeight w:val="234"/>
        </w:trPr>
        <w:tc>
          <w:tcPr>
            <w:tcW w:w="4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Japan</w:t>
            </w:r>
          </w:p>
        </w:tc>
        <w:tc>
          <w:tcPr>
            <w:tcW w:w="1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6553178</w:t>
            </w:r>
          </w:p>
        </w:tc>
        <w:tc>
          <w:tcPr>
            <w:tcW w:w="1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12-Jul-2019</w:t>
            </w:r>
          </w:p>
        </w:tc>
      </w:tr>
      <w:tr>
        <w:trPr>
          <w:trHeight w:val="194"/>
        </w:trPr>
        <w:tc>
          <w:tcPr>
            <w:tcW w:w="41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Methods of using a self-adjusting stent assembly and</w:t>
            </w:r>
          </w:p>
        </w:tc>
        <w:tc>
          <w:tcPr>
            <w:tcW w:w="1220" w:type="dxa"/>
            <w:vAlign w:val="bottom"/>
          </w:tcPr>
          <w:p>
            <w:pPr>
              <w:spacing w:after="0"/>
              <w:rPr>
                <w:sz w:val="16"/>
                <w:szCs w:val="16"/>
                <w:color w:val="auto"/>
              </w:rPr>
            </w:pPr>
          </w:p>
        </w:tc>
        <w:tc>
          <w:tcPr>
            <w:tcW w:w="24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color w:val="auto"/>
              </w:rPr>
              <w:t>USA</w:t>
            </w:r>
          </w:p>
        </w:tc>
        <w:tc>
          <w:tcPr>
            <w:tcW w:w="172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11,684,498</w:t>
            </w:r>
          </w:p>
        </w:tc>
        <w:tc>
          <w:tcPr>
            <w:tcW w:w="174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27-Jun-2023</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kits including same</w:t>
            </w:r>
          </w:p>
        </w:tc>
        <w:tc>
          <w:tcPr>
            <w:tcW w:w="1220" w:type="dxa"/>
            <w:vAlign w:val="bottom"/>
          </w:tcPr>
          <w:p>
            <w:pPr>
              <w:spacing w:after="0"/>
              <w:rPr>
                <w:sz w:val="20"/>
                <w:szCs w:val="20"/>
                <w:color w:val="auto"/>
              </w:rPr>
            </w:pPr>
          </w:p>
        </w:tc>
        <w:tc>
          <w:tcPr>
            <w:tcW w:w="2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China</w:t>
            </w:r>
          </w:p>
        </w:tc>
        <w:tc>
          <w:tcPr>
            <w:tcW w:w="1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ZL 2019800679437</w:t>
            </w:r>
          </w:p>
        </w:tc>
        <w:tc>
          <w:tcPr>
            <w:tcW w:w="1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03-May-2022</w:t>
            </w:r>
          </w:p>
        </w:tc>
      </w:tr>
      <w:tr>
        <w:trPr>
          <w:trHeight w:val="198"/>
        </w:trPr>
        <w:tc>
          <w:tcPr>
            <w:tcW w:w="4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Intravascular sheath</w:t>
            </w:r>
          </w:p>
        </w:tc>
        <w:tc>
          <w:tcPr>
            <w:tcW w:w="12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USA (UTI)</w:t>
            </w:r>
          </w:p>
        </w:tc>
        <w:tc>
          <w:tcPr>
            <w:tcW w:w="24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234"/>
        </w:trPr>
        <w:tc>
          <w:tcPr>
            <w:tcW w:w="4160" w:type="dxa"/>
            <w:vAlign w:val="bottom"/>
            <w:shd w:val="clear" w:color="auto" w:fill="CCEEFF"/>
          </w:tcPr>
          <w:p>
            <w:pPr>
              <w:spacing w:after="0"/>
              <w:rPr>
                <w:sz w:val="20"/>
                <w:szCs w:val="20"/>
                <w:color w:val="auto"/>
              </w:rPr>
            </w:pPr>
          </w:p>
        </w:tc>
        <w:tc>
          <w:tcPr>
            <w:tcW w:w="1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PCT</w:t>
            </w:r>
          </w:p>
        </w:tc>
        <w:tc>
          <w:tcPr>
            <w:tcW w:w="24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432"/>
        </w:trPr>
        <w:tc>
          <w:tcPr>
            <w:tcW w:w="4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jc w:val="right"/>
              <w:ind w:right="1970"/>
              <w:spacing w:after="0"/>
              <w:rPr>
                <w:sz w:val="20"/>
                <w:szCs w:val="20"/>
                <w:color w:val="auto"/>
              </w:rPr>
            </w:pPr>
            <w:r>
              <w:rPr>
                <w:rFonts w:ascii="Times New Roman" w:cs="Times New Roman" w:eastAsia="Times New Roman" w:hAnsi="Times New Roman"/>
                <w:sz w:val="18"/>
                <w:szCs w:val="18"/>
                <w:color w:val="auto"/>
              </w:rPr>
              <w:t>21</w:t>
            </w:r>
          </w:p>
        </w:tc>
        <w:tc>
          <w:tcPr>
            <w:tcW w:w="17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7"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The patents and patent applications listed above cover various aspects of our products, specifically focusing on the mesh sleeve covering our stents, as well as methods for production and delivery mechanisms of the stents. We believe that our patents, in particular those covering the use of a knitted micron-level mesh sleeve over a stent for various indications, as well as our pending patent applications (if issued as patents with claims substantially in their present form), create a significant barrier against other companies seeking to use similar technology. We believe these patents and patent applications collectively cover all our existing products and may be useful in protecting our future technological developments. We intend to aggressively continue patenting new technologies and to actively pursue any infringement of our key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rely on trade secret protection to protect our interests in proprietary know-how and/or for processes for which patents are difficult to obtain or enforce. As part of our trade secret policy, we rely on non-disclosure and confidentiality agreements with employees, consultants and other parties to protect trade secrets and other proprietary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registered or applied to register the following trademarks, which we use in connection with our products:</w:t>
      </w:r>
    </w:p>
    <w:p>
      <w:pPr>
        <w:spacing w:after="0" w:line="128"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InspireMD</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(US, European Union, and UK)</w:t>
      </w:r>
    </w:p>
    <w:p>
      <w:pPr>
        <w:ind w:left="660" w:hanging="328"/>
        <w:spacing w:after="0" w:line="191" w:lineRule="auto"/>
        <w:tabs>
          <w:tab w:leader="none" w:pos="66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MGuard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(European Union, and UK)</w:t>
      </w:r>
    </w:p>
    <w:p>
      <w:pPr>
        <w:ind w:left="660" w:hanging="328"/>
        <w:spacing w:after="0" w:line="191" w:lineRule="auto"/>
        <w:tabs>
          <w:tab w:leader="none" w:pos="66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CGuard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(US, European Union, and UK)</w:t>
      </w:r>
    </w:p>
    <w:p>
      <w:pPr>
        <w:ind w:left="660" w:hanging="328"/>
        <w:spacing w:after="0" w:line="191" w:lineRule="auto"/>
        <w:tabs>
          <w:tab w:leader="none" w:pos="660" w:val="left"/>
        </w:tabs>
        <w:numPr>
          <w:ilvl w:val="0"/>
          <w:numId w:val="1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5"/>
          <w:szCs w:val="15"/>
          <w:color w:val="auto"/>
        </w:rPr>
        <w:t>MGuard Prime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5"/>
          <w:szCs w:val="15"/>
          <w:color w:val="auto"/>
        </w:rPr>
        <w:t xml:space="preserve"> (European Union, and UK)</w:t>
      </w:r>
    </w:p>
    <w:p>
      <w:pPr>
        <w:ind w:left="660" w:hanging="328"/>
        <w:spacing w:after="0" w:line="180" w:lineRule="auto"/>
        <w:tabs>
          <w:tab w:leader="none" w:pos="66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4"/>
          <w:szCs w:val="14"/>
          <w:color w:val="auto"/>
        </w:rPr>
        <w:t>NGuard</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(European Union and UK)</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PVGuard® (European Union, and UK)</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Micronet®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(MNP Micronet Protection logo) (European Union and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Carenet®)European Union and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SmartFit™ (US, UK, EP and CN)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SmartFit Logo (EP, UK, CN)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CGuard Prime (EP, UK, US, CN, JP)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SwitchGuard (EP, UK, US, JP)</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True North Medical (EP,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MicroMesh logo (EP, UK)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Micronet logo (updated version) (US, EP, UK, JP)</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trademarks are renewable indefinitely, so long as we continue using the marks and make the appropriate filings when required. We also use and may have common-law rights to various trademarks, trade names, and service marks.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manufacture and sale of our products are subject to regulation by numerous governmental authorities, principally the European Union CE mark and other corresponding foreign agencies.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Sales of medical devices outside the United States are subject to foreign regulatory requirements that vary widely from country to country. These laws and regulations range from simple product registration requirements in some countries to complex approval process, clinical trials and production controls in others. As a result, the processes and time periods required to obtain foreign marketing approval may be longer or shorter than those necessary to obtain FDA market authorization. These differences may affect the timeliness of international market introduction of our products. For the European Union nations, medical devices must obtain a CE mark before they may be placed on the market. In order to obtain and maintain the CE mark, we must comply with EU law on medical devices, which, until May 26, 2021 was governed by the MDD, by presenting comprehensive technical files for our products demonstrating safety and efficacy of the product to be placed on the market and passing initial and annual quality management system audit as per ISO 13485 standard by a European Notified Body. We have obtained ISO 13485 quality system certification and CGuard EPS that we currently distribute into the European Union, displays the required CE mark. In order to maintain certification, we are required to pass an annual surveillance audit conducted by Notified Body auditors. The European Union replaced the MDD with the new MDR regulation. The MDR entered into force after a transitional period of three years and a one year extension of that transition period due to the COVID-19 pandemic on May 26, 2021 and which changes several aspects of the regulatory framework in the European Union. Manufacturers had the duration of the transition period to update their technical documentation and processes to meet the new requirements in order to obtain a CE Mark. In January 2024, we received CE mark recertification of CGuard EPS under the MDR.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or had regulatory approval and made sales of CGuard EPS either through distributors pursuant to distribution agreements or directly, in the countries listed in the table below. While each of the European Union member countries accepts the CE mark as its sole requirement for marketing approval, some of these countries still require us to take additional steps in order to gain reimbursement rights for our products. Furthermore, while we believe that certain of the below-listed countries that are not members of the European Union and accept the CE mark as a primary requirement for marketing approval, each such country requires additional regulatory requirements for final marketing approval of our products. Furthermore, we are currently targeting additional countries in Europe, Asia, and Latin America; however, even if all governmental regulatory requirements are satisfied in each such country, we anticipate that obtaining marketing approval in each country could take as few as three months or as many as twelve months or more, due to the nature of the approval process in each individual country, including typical wait times for application processing and review, as discussed in greater detail below.</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the table below setting forth the approvals and sales made for CGuard EPS on a country-by-country basis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Approvals and Sales of CGuard EPS on a Country-by-Country Basis*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CGuard EPS</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CGuard EPS</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34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Countries</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Approval</w:t>
            </w: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80" w:type="dxa"/>
            <w:vAlign w:val="bottom"/>
          </w:tcPr>
          <w:p>
            <w:pPr>
              <w:spacing w:after="0"/>
              <w:rPr>
                <w:sz w:val="20"/>
                <w:szCs w:val="20"/>
                <w:color w:val="auto"/>
              </w:rPr>
            </w:pPr>
          </w:p>
        </w:tc>
      </w:tr>
      <w:tr>
        <w:trPr>
          <w:trHeight w:val="209"/>
        </w:trPr>
        <w:tc>
          <w:tcPr>
            <w:tcW w:w="1700" w:type="dxa"/>
            <w:vAlign w:val="bottom"/>
          </w:tcPr>
          <w:p>
            <w:pPr>
              <w:spacing w:after="0"/>
              <w:rPr>
                <w:sz w:val="18"/>
                <w:szCs w:val="18"/>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Argentina</w:t>
            </w:r>
          </w:p>
        </w:tc>
        <w:tc>
          <w:tcPr>
            <w:tcW w:w="1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76"/>
              </w:rPr>
              <w:t>Y</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w w:val="76"/>
              </w:rPr>
              <w:t>Y</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Austria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Belarus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Belgium</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Bulgaria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Croatia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Cyprus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Denmark</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Ecuador</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Finland</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France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Greece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Netherlands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Hungary</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Iceland</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Ireland</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Kazakhstan</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Latvia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Lithuania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Liechtenstein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Luxembourg</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Malaysia</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Malta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Moldova</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Montenegro</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Zealand</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Norway</w:t>
            </w:r>
          </w:p>
        </w:tc>
        <w:tc>
          <w:tcPr>
            <w:tcW w:w="1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Y</w:t>
            </w:r>
          </w:p>
        </w:tc>
        <w:tc>
          <w:tcPr>
            <w:tcW w:w="13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w:t>
            </w:r>
          </w:p>
        </w:tc>
        <w:tc>
          <w:tcPr>
            <w:tcW w:w="1680" w:type="dxa"/>
            <w:vAlign w:val="bottom"/>
          </w:tcPr>
          <w:p>
            <w:pPr>
              <w:spacing w:after="0"/>
              <w:rPr>
                <w:sz w:val="20"/>
                <w:szCs w:val="20"/>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24" w:name="page25"/>
    <w:bookmarkEnd w:id="24"/>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Peru</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Portugal</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Romania</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Saudi Arabia</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Serbia</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Slovakia</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Slovenia</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Sweden</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Venezuela</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Vietnam</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Ukraine</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16"/>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3220" w:type="dxa"/>
            <w:vAlign w:val="bottom"/>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Y</w:t>
            </w:r>
          </w:p>
        </w:tc>
        <w:tc>
          <w:tcPr>
            <w:tcW w:w="9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Y</w:t>
            </w:r>
          </w:p>
        </w:tc>
      </w:tr>
      <w:tr>
        <w:trPr>
          <w:trHeight w:val="23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2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N</w:t>
            </w:r>
          </w:p>
        </w:tc>
        <w:tc>
          <w:tcPr>
            <w:tcW w:w="98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9"/>
              </w:rPr>
              <w:t>Y(1)</w:t>
            </w:r>
          </w:p>
        </w:tc>
      </w:tr>
    </w:tbl>
    <w:p>
      <w:pPr>
        <w:spacing w:after="0" w:line="206"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CGuard units used in our ongoing FDA trial.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Government Regulation of Medical Devices for Human Subjects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Many of our activities are subject to regulatory requirements by the FDA under provisions of the Federal Food, Drug, and Cosmetic Act and regulations and guidance thereunder, including requirements governing the development, marketing, labeling, promotional efforts, manufacturing, and exporting of medical devices.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FDA Approval/Clearance Requirements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United States, most Class II or III medical devices must be cleared or approved by the FDA prior to commercialization. Unless an exemption applies, each medical device that is marketed in the United States must receive either 510(k) clearance or PMA approval. Medical devices that are class II devices generally receive 510(k) clearance are “cleared” by the FDA to market, distribute, and sell in the United States. Medical devices that are class III devices obtain a premarket approval by the FDA are “approved” to market, distribute, and sell in the United States.</w:t>
      </w:r>
    </w:p>
    <w:p>
      <w:pPr>
        <w:spacing w:after="0" w:line="1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Class I </w:t>
      </w:r>
      <w:r>
        <w:rPr>
          <w:rFonts w:ascii="Times New Roman" w:cs="Times New Roman" w:eastAsia="Times New Roman" w:hAnsi="Times New Roman"/>
          <w:sz w:val="18"/>
          <w:szCs w:val="18"/>
          <w:color w:val="auto"/>
        </w:rPr>
        <w:t>devices are those for which safety and effectiveness can be assured by adherence to the FDA’s general regulatory controls for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devices, or the General Controls, which include compliance with the applicable portions of the FDA’s quality system regulations, facility registration and product listing, reporting of adverse medical events, and appropriate, truthful and non-misleading labeling, advertising, and promotional materials. Some Class I devices also require premarket clearance by the FDA through the 510(k)-process described below.</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Class II </w:t>
      </w:r>
      <w:r>
        <w:rPr>
          <w:rFonts w:ascii="Times New Roman" w:cs="Times New Roman" w:eastAsia="Times New Roman" w:hAnsi="Times New Roman"/>
          <w:sz w:val="18"/>
          <w:szCs w:val="18"/>
          <w:color w:val="auto"/>
        </w:rPr>
        <w:t>devices are generally required to file a Premarket review, known as a 510(k) application, that may also require General Controls,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special controls as deemed necessary by the FDA to ensure the safety and effectiveness of the device. Generally, the 510(k) submission is generally considered “substantially equivalent to a previously marketed device. Pursuant to the Medical Device User Fee and Modernization Act of 2002 (MDUFMA), as of October 2002, unless a specific exemption applies, 510(k) submissions are subject to user fees. Certain Class II devices are exempt from this premarket review process.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25" w:name="page26"/>
    <w:bookmarkEnd w:id="25"/>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Class III </w:t>
      </w:r>
      <w:r>
        <w:rPr>
          <w:rFonts w:ascii="Times New Roman" w:cs="Times New Roman" w:eastAsia="Times New Roman" w:hAnsi="Times New Roman"/>
          <w:sz w:val="18"/>
          <w:szCs w:val="18"/>
          <w:color w:val="auto"/>
        </w:rPr>
        <w:t>devices generally are more complex devices or new devices where there is no substantially equivalent device on the market and can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greatest risk. Devices in this class must demonstrate safety and efficacy requirements and file a premarket filing reviewed by the FDA. In addition, Class III devices cannot generally be marketed until they receive FDA approval. The safety and effectiveness of Class III devices cannot be assured solely by the General Controls and the other requirements described above. These devices generally require formal clinical studies to demonstrate safety and effectiveness. Under MDUFMA, PMAs (and supplemental PMAs) are subject to significantly higher user fees than 510(k) applications, and they also require considerably more time and resources.</w:t>
      </w:r>
    </w:p>
    <w:p>
      <w:pPr>
        <w:spacing w:after="0" w:line="18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FDA establishes requirements whether a device must undergo either the 510(k) clearance or premarket approval based on statutory criteria that utilize a risk-based classification system. Premarket approval (PMA) is the FDA process of scientific and regulatory review to evaluate the safety and effectiveness of Class III medical devices and, such reviews may also be done for Class II medical devices. Class III devices are those that support or sustain human life, are of substantial importance in preventing impairment of human health, or which present a potential, unreasonable risk of illness or injury. The FDA uses these criteria to decide whether a premarket approval or a 510(k) is appropriate, including the level of risk that the agency perceives is associated with the device and a determination by the agency of whether the product is a type of device that is similar to devices that are already legally marketed. Devices deemed to pose relatively less risk are placed in either Class I or II. In many cases, the FDA requires the manufacturer to submit a 510(k) requesting clearance (also referred to as a premarket notification), unless an exemption applies. The 510(k) must demonstrate that the manufacturer’s proposed device is “substantially equivalent” in intended use and in safety and effectiveness to a legally marketed predicate device. A “predicate device” is a pre-existing medical device to which equivalence can be drawn, generally by a Class II device that was in commercial distribution before May 28, 1976, for which the FDA has not yet called for submission of a PMA. A product that lacks a predicate device may default to a Class III device, although a company may seek to submit a De Novo classification request, rather than a PMA. The De Novo request allows a regulatory pathway to classify novel medical devices for which no predicate device exists, and FDA will determine which category is appropriate for that device and for which general controls alone, or general and special controls, provide reasonable occurrence of safety and effectiveness for the intended use, but for which there is no legally marketed predicate device.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Premarket Approval Pathway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CGuard Carotid Stent System is classified as a Class III medical device (considered a PMA) by the FDA. Class III medical devices are generally the highest risk devices and are subject to more rigorous regulatory requirements by the FDA, since the FDA process of premarket approval involves scientific and regulatory review to evaluate the safety and effectiveness of Class III medical devices for the purpose(s) intended. The FDA will either approve or deny a premarket approval application and we cannot market a device until the FDA approves a premarket approval application.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PMA must be supported by extensive data including, but not limited to, analytical, preclinical, clinical trials, manufacturing, statutory preapproval inspections, and labeling to demonstrate to the FDA’s satisfaction the safety and effectiveness of the device is safe and effective for its intended use. Before a premarket approval application is submitted, a manufacturer must generally apply for an Investigational Device Exemption (IDE) to conduct clinical trials. If the device presents a “significant risk,” as defined by the FDA, to human health, the FDA requires the device sponsor to file an IDE application with the FDA and obtain IDE approval prior to initiation of broader human clinical trials.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Part of the PMA process is to ensure that the IDE is the first application that must be supported by appropriate data, such as analytical, animal and laboratory testing results, manufacturing information, and an Investigational Review Board (IRB) approved protocol showing that it is safe to test the device in humans and that the testing protocol is scientifically sound, as well as ensuring patient informed consent is obtained.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clinical trial may be suspended by either the FDA or the IRB at any time for various reasons, including a belief that the risks to the study participants outweigh the benefits of participation in the study. Even if a study is completed, clinical testing results may not demonstrate the safety and efficacy of the device, or they may be equivocal or otherwise insufficient to obtain approval of the product being tested. After the clinical trials have been completed, if at all, and the clinical trial data and results are collected and organized, a manufacturer may complete a premarket approval application.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the IDE, a PMA application must be prepared and after a PMA is sufficiently complete, then the FDA will accept the application and begin an in-depth review of the submitted information. By statute, the FDA has 180 days to review the “accepted application,” although, generally, FDA review of the application generally takes between one and three years, but it may take significantly longer.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The preapproval inspections conducted by the FDA include an evaluation of the manufacturing facility to ensure compliance with the Quality Systems Regulations, as well as inspections of the clinical trial sites by the Bioresearch Monitoring group to evaluate compliance with good clinical practice and human subject protections. New premarket approval applications or premarket approval supplements are required for modifications that affect the safety or effectiveness of the device, including, for example, certain types of modifications to the device’s indication for use, manufacturing process, labeling and design. Significant changes to an approved premarket approval require a 180-day supplement, whereas less substantive changes may utilize a 30-day notice, or a 135-day supplement. Premarket approval supplements often require submission of the same type of information as a premarket approval application, except that the supplement is limited to information needed to support any changes from the device covered by the original premarket approval application, and it may not require as extensive clinical data or the convening of an advisory panel.</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510(k) Clearance Pathway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do not currently market, distribute, or sell any products that have market clearance by the FDA under its 510(k) process that are generally required as Class II devices. If, in the future, we develop products where 510(k) clearance is required, we would be required to submit a 510(k) demonstrating that such proposed devices are substantially equivalent to a respective previously cleared 510(k) device or a device that was in commercial distribution before May 28, 1976, for which the FDA has not yet called for the submission of 510(k). The FDA’s 510(k) clearance pathway is established as 180 days for review, however, it usually takes from three to twelve months but could take longer. In some cases, the FDA may require additional information, including clinical data, to make a determination regarding substantial equivalence.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device receives 510(k) clearance, any modification that could significantly affect its safety or effectiveness, or that would constitute a new or major change in its intended use, will require a new 510(k) clearance or, depending on the modification, a premarket approval. The FDA requires each device manufacturer to determine whether the proposed change requires submission of a new 510(k) or a premarket approval, but the FDA can review any such decision and can disagree with a manufacturer’s determination. If the FDA disagrees with a manufacturer’s determination, the FDA can require the manufacturer to cease marketing and/or recall the modified device until 510(k) clearance or premarket approval of the modified device is obtained.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Pervasive and Continuing FDA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host of regulatory requirements apply to our devices, including the quality system regulation (which requires manufacturers to follow elaborate design, testing, control, documentation and other quality assurance procedures), the Medical Device Reporting regulations (which require that manufacturers report to the FDA specified types of adverse events involving their products), labeling regulations, and the FDA’s general prohibition against promoting products for unapproved or “off-label” uses. Class II devices also can have special controls such as performance standards, post-market surveillance, patient registries, and certain FDA guidelines may also apply to Class I devices.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A noncomprehensive list of the regulatory requirements that apply to our products classified as medical devices include:</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listing and establishment registration, which helps facilitate FDA inspections and other regulatory 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Systems Regulations, which requires manufacturers, including third-party manufacturers, to follow stringent design, testing, control, documentation and other quality assurance procedures during all aspects of the development and manufacturing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labeling regulations and FDA prohibitions against the promotion of products for uncleared, unapproved or off-label use or indication;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clearance of product modifications that could significantly affect safety or efficacy or that would constitute a major change in intended use of one of our cleared devices (if obtained);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product modifications that affect the safety or effectiveness of one of our cleared devices (if obtained);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post-approval restrictions or conditions, including post-approval study commitments;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post-market surveillance regulations, which apply when necessary to protect the public health or to provide additional safety and effectiveness data for the device;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recall authority, whereby it can ask, or under certain conditions order, device manufacturers to recall from the market a product that is in violation of governing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pertaining to voluntary recalls;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of corrections or removals.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At this time, we do not have any commercially approved medical devices in the US, and we have not filed for an Establishment Registration with the FDA. If we are approved or cleared to manufacture, prepare, or process a device in the United States, we and any third-party manufacturers that we may use will be required to register our establishments with the FDA. In addition, we and our manufacturing facilities will be subject to FDA inspections for compliance with the FDA’s Quality System Regulation. Additionally, some of our subcontractors may also be subject to FDA announced and unannounced inspections for compliance with the FDA’s Quality System Regulation and assurances that the Company is marketing appropriately the indications for use of the product. These regulations will require that we manufacture our products and maintain our documents in a prescribed manner with respect to design, manufacturing, testing and quality control activities and ensure that marketing materials and promotion are in compliance. As a medical device manufacturer, we will further be required to comply with FDA requirements regarding the reporting of adverse events associated with the use of our medical devices, as well as product malfunctions that would likely cause or contribute to death or serious injury if the malfunction were to recur. FDA regulations also govern product labeling and prohibit a manufacturer from marketing a medical device for unapproved applications.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Laws and Regulations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FDA regulations, there are a variety of other healthcare laws and regulations to which we may be subject if any of our products are marketed, sold, distributed, and/or utilized in the United States. In the United States, we may be subject to the oversight of FDA, Office of the Inspector General within the Department of Health and Human Services (OIG), the Center for Medicare and Medicaid Services (CMS), the Department of Justice (DOJ), in addition to other governmental reviews. We supply products that may be reimbursed by federally funded programs such as Medicare. As a result, our activities may be subject to regulation by CMS and potential enforcement by CMS, OIG and DOJ. Of specific note are federal and state fraud and abuse laws, which prohibit the payment or receipt of kickbacks, bribes or other remuneration, including the offer or solicitation of such payment, intended to induce or reward the purchase, recommendation or generation of business involving healthcare products any item or service payable by a health-care program. Other provisions of federal and state laws prohibit presenting, or causing to be presented, to third party payors (including, government programs, such as Medicare and Medicaid) for reimbursement, claims that are false or fraudulent, or which are for items or services that were not provided as claimed. In addition, other healthcare laws and regulations may apply, such as transparency and reporting requirements and privacy and security requirements. Violations of these laws can lead to civil and criminal penalties, including exclusion from participation in federal and state healthcare programs, any of which could have a material adverse effect on our business. These laws are potentially applicable to manufacturers of products regulated by the FDA as medical devices, such as us, and hospitals, physicians and other institutional or individual providers that may refer or purchase such products. The healthcare laws that may be applicable to our business or operations include, but are not limited to:</w:t>
      </w:r>
    </w:p>
    <w:p>
      <w:pPr>
        <w:spacing w:after="0" w:line="197" w:lineRule="exact"/>
        <w:rPr>
          <w:sz w:val="20"/>
          <w:szCs w:val="20"/>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 person from knowingly and willfully offering, soliciting or receiving any remuneration, directly or indirectly, overtly or covertly, in cash or in kind, in return for or to induce referring or recommending an individual to another person to receive items or services or to purchase, lease, order, or arrange for any good, facility, item or service payable in whole or in part under a Federal health care program;</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laws and civil monetary penalty laws, including the False Claims Act, prohibit, among other things, individuals or entities from knowingly presenting, or causing to be presented, claims for payment from Medicare, Medicaid or other government healthcare programs that are false or fraudulent, or making a false statement to avoid, decrease or conceal an obligation to pay money to the federal government. The False Claims Act imposes liability on any person or entity that, among other things, knowingly presents, or causes to be presented, a false or fraudulent claim for payment by a federal health care program, knowingly makes, uses or causes to be made or used, a false record or statement material to a false or fraudulent claim, or knowingly makes a false statement to avoid, decrease or conceal an obligation to pay money to the U.S. federal government. The federal Civil Monetary Penalties Law prohibits, among other things, the offering or transferring of remuneration to a Medicare or Medicaid beneficiary that the person knows or should know is likely to influence the beneficiary’s selection of a particular supplier of Medicare or Medicaid payable items or services;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(“HIPAA”), which includes provisions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and for knowingly and willfully falsifying, concealing or covering up a material fact or making any materially false statements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including privacy protection that impose obligations and requirements on healthcare providers, health plans, and healthcare clearinghouses as well as their respective business associates that perform certain services for them that involve the use or disclosure of individually identifiable health information, with respect to safeguarding the privacy and security of certain individually identifiable health information;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both"/>
        <w:ind w:left="660" w:hanging="328"/>
        <w:spacing w:after="0" w:line="258"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Affordable Care Act, including the provision commonly referred to as the Open Payments Act or Physician Payments Sunshine Act, which requires certain manufacturers of drugs, devices, biologics and medical supplies that are reimbursable under Medicare, Medicaid or Children’s Health Insurance Program to report annually to Centers for Medicare and Medicaid Services (“CMS”) information related to payments and other transfers of value to physicians and teaching hospitals, and ownership and investment interests held by physicians and their immediate family members; and</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be broader in scope and apply to referrals and items or services reimbursed by both governmental and non-governmental third-party payors, including private insurers, many of which differ from each other in significant ways and often are not preempted by federal law, thus complicating compliance efforts.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customer base is varied. We currently have distribution agreements for our CE mark-approved CGuard EPS with medical product distributors based in Europe, the Middle East, Asia Pacific and Latin America, and are in discussions with additional potential partners.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distribution agreements stipulate that, while we shall assist in training by providing training materials, marketing guidance, marketing materials, and technical guidance, each distributor will be responsible for carrying out local registration, sales and marketing activities. In addition, in most cases, all sales costs, including sales representatives, incentive programs, and other marketing activities, will be borne by the distributor. Under current agreements, distributors purchase stents from us at a fixed price. Our current agreements with distributors are generally for a term of two to three years.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Upon potential PMA approval in the U.S., our direct sales organization will support a varied customer base of multiple interventional and surgical specialties, to include interventional cardiologists, neurologists, neuroradiologists and radiologists, as well as both vascular and neurosurgeons.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Suppliers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polymer fiber for MicroNet is supplied by Biogeneral, Inc., a San Diego, California-based specialty polymer manufacturer for medical and engineering applications.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catheter supplier for CGuard EPS supplies us with catheters that help create the base for our CGuard EPS stents. Our agreement with the supplier may be terminated by us upon eight months’ notice. On September 17, 2019, we amended the agreement with the supplier so that we are responsible for purchasing and handling inventory of components used in the manufacturing of CGuard EPS catheters, and they are responsible for the manufacturing process.</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catheter supplier for CGuard Prime supplies us with catheters that help create the base for our CGuard Prime stent system. Our agreement with the supplier which may be terminated by us upon 9 months’ notice, calls for non-binding minimum orders.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manufacture our CGuard EPS and our CGuard Prime at our own facility. The self-expanding bare-metal stents for our CGuard EPS and our CGuard Prime are being manufactured and supplied by a third-party. Our agreement with the supplier for the production of electro polished nitinol bare-metal stents for CGuard EPS and CGuard Prime is priced on a per-stent basis, subject to the quantity of stents ordered. The complete assembly process for CGuard EPS and CGuard Prime, including knitting and securing the sleeve to the stent and the crimping of the sleeved stent into a delivery catheter, is done at our manufacturing site in Israel. Once CGuard EPS and CGuard Prime have been assembled, they are sent for sterilization in a third-party facility in Israel, and then back to our facility for final packaging and distribution.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support our anticipated production growth following the anticipated commercialization of the CGuard Prime carotid stent system, we have engaged Aptyx Interventional Systems(“Aptyx”) a contract manufacturer that is a developer and manufacturer of complex components and devices for the life sciences, to transfer the manufacturing of CGuard Prime finished goods to full-scale production at their ISO Class 7 cleanroom facility in North Carolina. We previously engaged Medical Murray, another contract manufacturer that specializes in medical device development, prior to Aptyx’s acquisition of Medical Murray’s ISO Class 7 cleanroom facility in North Carolina. Aptyx specializes in complex catheter and implant manufacturing and is FDA-registered and ISO 13485-certified. The transfer includes setting up a production line, conducting process validations, and implementing quality control measures to meet our specifications. Aptyx will also conduct operator training, execute qualification builds, and validate the sterilization process for the CGuard Prime device. We expect this transition to enable increased production capacity to meet future demand, with volume forecasts growing from 20,000 units annually to an estimated 50,000 units by 2027.</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CGuard EPS and CGuard Prime consist of a CGuard stent and the delivery system. Each CGuard stent is manufactured from two main components, a self-expanding nickel-titanium stent and the PET polymer mesh. The mesh is made from polyethylene terephthalate (PET). We have patent rights that cover the proposed CGuard stent with mesh. During 2022 our mesh supplier informed us that they will not be able to supply the polymer fiber in the future due to supply issues with the current PET resin, therefore we purchased inventory which should be sufficient to support our production needs until the end of 2027. We are currently testing a different source of PET showing equivalent mechanical properties and biocompatibility of the original raw material. BioGeneral will produce the fiber from the new PET: some samples were already produced with different PET resins for preliminary R&amp;D testing. Once the new resin will be chosen, complete validation process will take up to 18 months. The delivery system of CGuard consists of several sub-assemblies procured from original equipment manufacturers and assembled in-house. In the event that one of our suppliers can no longer supply one of the components, we would need to qualify another supplier, which could take up to a year depending on the component and its criticality. In addition, in order to retain the approval of the CE mark, we are required to perform periodic audits of the quality control systems of our key suppliers in order to ensure that their products meet our predetermined specifications.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86 employees, 85 full-time and one part-time, consisting of six in executive management, six in research and development, nine in quality assurance and compliance, seven in finance and accounting, 34 in operations/production, 14 in commercial (including sales and marketing), three in clinical and seven in human resources, IT and administration. Except for four of our employees in Europe, our employees are not party to any collective bargaining agreements. We do not expect the collective bargaining agreements to which our employees are party to have a material effect on our business or results of operations. We also employ 1 independent contractor in Brazil.</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future success will depend, in part, on our continued ability to attract, hire and retain qualified personnel. In particular, we depend on the skills, experience and performance of our senior management and research personnel. We compete for qualified personnel with other medical device, biotechnology, pharmaceutical and healthcare companies, as well as universities and non-profit research institutions.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competitive compensation and benefits programs to help meet the needs of our employees. In addition to salaries, these programs (which vary by country/region and employment classification) include incentive compensation plan, pension, healthcare and insurance benefits, paid time off, family leave, and on-site services, among others. We also use targeted equity-based grants with vesting conditions to facilitate retention of personnel, particularly for our key employees.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consider our relations with our employees to be good.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There are numerous and varied risks, known and unknown, that may prevent us from achieving our goals. You should carefully consider the risks described below and the other information included in this Annual Report on Form 10-K, including the consolidated financial statements and related notes. If any of the following risks, or any other risks not described below, actually occur, it is likely that our business, financial condition, and/or operating results could be materially adversely affected. The risks and uncertainties described below include forward-looking statements and our actual results may differ from those discussed in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titled “Risk Factors” immediately following this prospectus summary. These risks include, among others, the following:</w:t>
      </w:r>
    </w:p>
    <w:p>
      <w:pPr>
        <w:spacing w:after="0" w:line="162"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experience future losses;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recurring losses and negative cash flows from operating activities, significant future commitments and the uncertainty regarding the adequacy of our liquidity to pursue our complete business objectives, and substantial doubt regarding our ability to continue as a going concern;</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additional capital to meet our business requirements in the future, and such capital raising may be costly or difficult to obtain and could dilute our stockholders’ ownership interests;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claims by much larger and better capitalized competitors enforcing their intellectual property rights against us or seeking to invalidate our intellectual property or our rights thereto;</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trials for CGuard Carotid Stent System and SwitchGuard NPS in the United States require meeting a number of regulatory requirements and must be conducted in compliance with the FDA’s IDE regulations. Failure to maintain compliance with IDE regulations could have a material adverse effect on our business;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necessary to support a pre-market approval application will be lengthy and expensive and will require the enrollment of a large number of patients, and suitable patients may be difficult to identify and recruit. Any such delay or failure of clinical trials could prevent us from commercializing our stent products, which would materially and adversely affect our results of operations and the value of our business;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be insufficient to obtain regulatory approval for our products;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in the future be subject to product notifications, recalls, or voluntary market withdrawals that could harm our reputation, business and financial results;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directly or indirectly, to applicable U.S. federal and state anti-kickback, false claims laws, physician payment transparency laws, fraud and abuse laws or similar healthcare and security laws and regulations, which could expose us to criminal sanctions, civil penalties, contractual damages, reputational harm and diminished profits and future earnings;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exposed to product liability claims and insurance may not be sufficient to cover these claims;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one or more of our products are approved by the FDA, we may fail to obtain an adequate level of reimbursement for our products by third party payors, such that there may be no commercially viable markets for our products or the markets may be much smaller than expected;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and European Union, our business could be significantly and adversely affected by healthcare reform initiatives and/or other legislation or judicial interpretations of existing or future healthcare laws and/or regulations;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covering our products, others may be able to make, use or sell our products, which would adversely affect our revenue;</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international business, and we are exposed to various global and local risks that could have a material adverse effect on our financial condition and results of operations venue;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limitations in all control systems, and misstatements due to error or fraud may occur and not be detected;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being subject to fluctuations in currency exchange rates because we expect a substantial portion of our revenues will be generated in Euros and U.S. dollars, while a significant portion of our expenses will be incurred in New Israeli Shekels;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significant shifts in the political, economic and military conditions in Israel and its neighbours, it could have a material adverse effect on our business relationships and profitability;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may be difficult for investors in the United States to enforce any judgments obtained against us or some of our directors or officers;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our common stock and our publicly traded warrants are subject to fluctuation and have been and may continue to be volatile, which could result in substantial losses for investors;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could be delisted from the Nasdaq Stock Market if we fail to meet its continued listing requirements, including requirements with respect to the market value of publicly-held-shares, market value of listed shares, minimum bid price per share, and minimum stockholder’s equity, among others, and requirements relating to board and committee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experience future losses.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yet to establish any history of profitable operations. We reported a net loss of $32.0 million for the fiscal year ended December 31, 2024, and had a net loss of approximately $19.9 million during the fiscal year ended December 31, 2023. As of December 31, 2024, we had an accumulated deficit of $254 million. We expect to incur additional operating losses for the foreseeable future. There can be no assurance that we will be able to achieve sufficient revenues throughout the year or be profitable in the future.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Management has concluded that there is substantial doubt about our ability to continue as a going concern, and the report of our independent registered public accounting firm contains an explanatory paragraph as to our ability to continue as a going concern, which could prevent us from obtaining new financing on reasonable terms or at all.</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have had recurring losses and negative cash flows from operating activities, substantial doubt exists regarding our ability to remain as a going concern at the same level at which we are currently performing. Accordingly, the report of Kesselman &amp; Kesselman, our independent registered public accounting firm, with respect to our financial statements for the year ended December 31, 2024, includes an explanatory paragraph as to our potential inability to continue as a going concern. The doubts regarding our potential ability to continue as a going concern may adversely affect our ability to obtain new financing on reasonable terms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33" w:name="page34"/>
    <w:bookmarkEnd w:id="33"/>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raise additional capital to meet our business requirements in the future, and such capital raising may be costly or difficult to obtain and could dilute our stockholders’ ownership interests.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order for us to pursue our business objectives without materially curtailing our operations, we will need to raise additional capital, which additional capital may not be available on reasonable terms or at all. For instance, we will need to raise additional funds to accomplish the following:</w:t>
      </w:r>
    </w:p>
    <w:p>
      <w:pPr>
        <w:spacing w:after="0" w:line="16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efforts in the United States following anticipated FDA approval of CGuard™ Prime;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manufacturing and operational capabilities, including scaling up production to meet expected demand and establishing necessary infrastructure in the United States;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our current and future products, including potential enhancements to CGuard™ Prime and advancing SwitchGuard™ NPS;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pursuing growth opportunities, such as expanding commercial activities in key international markets and strengthening regional distribution networks;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U.S. commercial organization, including hiring and retaining qualified personnel to support sales, marketing, and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competitive pressures and evolving market dynamics, including potential reimbursement challenges and pricing pressures;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regulatory and compliance obligations, including post-market surveillance, product registrations, and adherence to evolving regulatory frameworks;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compliance with applicable laws and corporate governance requirements.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2023, we issued four series of Warrants that expire upon the earlier of five years and 20 trading days following the occurrence of certain milestones specific to each series. If the Warrants are exercised in cash in full, this would result in $71.4 million of gross proceeds. In July 2024, we received gross proceeds of approximately $17.9 million following the exercise of the Series H Warrants in full. There can be no assurance that we will achieve any of the milestones set forth in the Warrants or that the Warrants will be exercised in cash in full.</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Any additional capital raised through the sale of equity or equity-backed securities may dilute our stockholders’ ownership percentages and could also result in a decrease in the market value of our equity securities.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terms of any securities issued by us in future capital transactions may be more favorable to new investors, and may include preferences, superior voting rights and the issuance of warrants or other derivative securities, which may have a further dilutive effect on the holders of any of our securities then outstanding.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pursuing future capital financing, including investment banking fees, legal fees, accounting fees, securities law compliance fees, printing and distribution expenses and other costs. We may also be required to recognize non-cash expenses in connection with certain securities we issue, such as convertible notes and warrants, which may adversely impact our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Risk Related to Commercialization of Our Products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derive most of our revenue from the sale of CGuard EPS in CE marked countries, our ability to generate significant revenues and achieve profitability depends, among other things, on our ability to receive FDA approval of CGuard Prime and SwitchGuard and other products we may develop. If we fail to obtain FDA approval for CGuard Prime, SwitchGuard or any other products we may develop, our results of operations and the value of our business would be materially and adversely affected.</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derive most of our revenue from sales of our CGuard EPS in CE marked countries and certain other select jurisdictions. We have not received approvals in the United States and certain other jurisdictions for CGuard Prime and have not received any approvals for SwitchGuard and there can be no assurance that we will be able to receive regulatory approvals to commence marketing and sales for our products in any jusrisdiction where we are seeking approvals. Our ability to generate significant revenues and achieve profitability depends on our ability to successfully obtain required regulatory approvals in the U.S. as well as to demonstrate sufficient clinical evidence and manufacture commercial quantities of our CGuard Prime, SwitchGuard and any other products we may develop at an acceptable cost. In addition, there may be insufficient demand for CGuard Prime, SwitchGuard and any other products we develop. If we fail to generate sufficient revenues from these products, our results of operations and the value of our business and securities would be materially and adversely affected.</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future success of our business cannot be determined at this time, and we do not anticipate generating significant revenues from product sales for the foreseeable future. In addition, we have no experience in commercializing our CGuard Prime or any other product we develop on a mass scale and face a number of challenges with respect to our commercialization efforts, including, among others, that:</w:t>
      </w:r>
    </w:p>
    <w:p>
      <w:pPr>
        <w:spacing w:after="0" w:line="176" w:lineRule="exact"/>
        <w:rPr>
          <w:sz w:val="20"/>
          <w:szCs w:val="20"/>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adequate financial or other resources to demonstrate adequate clinical results, attain required regulatory approvals and licensures, and begin the commercialization efforts for our CGuard Prime, SwitchGuard or any other product we develop in our target markets;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or maintain required regulatory approvals and licensures for our CGuard Prime, SwitchGuard or any other product we develop in our target markets or may face adverse regulatory or legal actions relating to our products even if regulatory approval is obtained;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demonstrate adequate clinical safety and clinical effectiveness results from our CGuard Prime, SwitchGuard or any other product we develop to support regulatory body approval or market acceptance and adoption;</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scale up the manufacture of our CGuard Prime, SwitchGuard or any other product we develop to commercial quantities at an adequate quality or at an acceptable cost;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establish adequate sales, marketing and distribution channels;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professionals and patients may not accept our CGuard Prime, SwitchGuard or any other product we develop;</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technological challenges may reduce the demand for our CGuard Prime, SwitchGuard or any other product we develop;</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alliances between existing market participants and the entrance of new market participants may interfere with our market penetration efforts;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private third-party payors may not agree to provide coding, coverage and payment adequate to reimburse healthcare providers and patients for any or all of the purchase price of CGuard Prime, SwitchGuard or any other product we develop which may adversely affect healthcare providers’ and patients’ willingness to purchase our C-Scan system;</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as to market demand may result in inefficient pricing of our CGuard Prime, SwitchGuard or any other product we develop;</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our intellectual property or may face third-party claims of intellectual property infringement; and</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dependent upon the results of ongoing clinical studies relating to our CGuard Prime and the products of our competitors.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are unable to meet any one or more of these challenges successfully, our ability to effectively commercialize CGuard Prime, SwitchGuard or any other product we develop could be limited, which in turn could have a material adverse effect on our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met the primary endpoint in our C-GUARDIANS trial of the CGuard Carotid Stent System, the results may not be sufficient to support FDA approval.</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June 2023, we completed enrollment in the C-GUARDIANS trial. In November 2023, we announced positive 30-day follow up results from the C-GUARDIANS trial in which stenting with the CGuard Carotid Stent System in patients with carotid artery stenosis. In May 2024, we announced positive one-year follow up results from the C-GUARDIANS trial, with a rate of 30-day DSMI and ipsilateral stroke between 31 and 365 days of 1.95%. These data were used to support the PMA submission in September 2024 with a view to potential FDA approval of the CGuard Prime carotid stent system in the first half of 2025. There can be no assurance that the primary endpoint results will be sufficient to support FDA approval. In addition, our clinical trials have been conducted under differing protocols, while using specific inclusion criteria and we cannot assure you that its actual clinical performances will be satisfactory to support proposed indications and regulatory approvals and clinical acceptance and adoption, or that its use will not result in unanticipated complications. Furthermore, the results of our clinical trials are subject to human analyses and interpretation of the data accumulated, which could be affected by various errors due to, among others, lack of sufficient clinical experience with CGuard EPS, SwitchGuard or any other product we develop, assumptions used in the statistical analysis of results, and interpretation errors in the analysis of the clinical trials results. Failure can occur at any time during the clinical trial process. If CGuard EPS, SwitchGuard or any other product we develop does not function as expected over time, we may not achieve regulatory clearances, and may not be widely adopted by healthcare providers and patients.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our products will be subject to ongoing regulatory review and if we fail to comply with continuing U.S. and applicable foreign regulations, we could lose those approvals and our business would be seriously harmed.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products we develop receive regulatory approval or clearance, we will be subject to ongoing reporting obligations, and the products and the manufacturing operations will be subject to continuing regulatory review, including FDA inspections. The outcome of this ongoing review may result in the withdrawal of a product from the market, the interruption of the manufacturing operations and/or the imposition of labeling and/or marketing limitations. Since many more patients are exposed to drugs and medical devices following their marketing approval, serious but infrequent adverse reactions that were not observed in clinical trials may be observed during the commercial marketing of the product. In addition, the manufacturer and the manufacturing facilities we will use to produce any product will be subject to periodic review and inspection by the FDA and other, similar foreign regulators. Later discovery of previously unknown problems with any product, manufacturer or manufacturing process, or failure to comply with regulatory requirements, may result in actions such as:</w:t>
      </w:r>
    </w:p>
    <w:p>
      <w:pPr>
        <w:spacing w:after="0" w:line="19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 manufacturer or manufacturing process;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from the FDA or other regulatory authorities;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recall;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or supplier, third-party contractor, partner or clinical investigator is slow to adapt, or are unable to adapt, to changes in existing regulatory requirements or the adoption of new regulatory requirements or policies, we may lose marketing approval for any of our products, if any of our products are approved, resulting in decreased.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failure of third parties to meet their contractual, regulatory, and other obligations could adversely affect our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engaged Aptyx, a contract manufacturer, to transfer the manufacturing of CGuard Prime finished goods to full-scale production at their ISO Class 7 cleanroom facility in North Carolina. Using a third party poses a number of risks, such as: (i) they may not perform to our standards or legal requirements; (ii) they may not produce reliable results; (iii) they may not perform in a timely manner; (iv) they may not maintain confidentiality of our proprietary information; (v) disputes may arise with respect to ownership of rights to technology developed with our partners; and (vi) disagreements could cause delays in, or termination of, the research, development or commercialization of our products or result in litigation or arbitration. Moreover, some third parties are located in markets subject to political and social risk, corruption, violence, infrastructure problems and natural disasters, in addition to country-specific privacy and data security risk given current legal and regulatory environments. Failure of third parties to meet their contractual, regulatory, and other obligations may materially affect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on self-commercializing CGuard Prime in the U.S. if we receive FDA approval and historically have no experience selling, marketing or distributing products in the U.S.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plan on self-commercializing CGuard Prime in the U.S., subject to receipt of FDA approval. As part of our plan, we are building out a sales, marketing and distribution capabilities and engaged with a contract manufacturer. Historically we have not had experience in manufacturing, selling, marketing or distributing products in the U.S. To be able to commercialize CGuard Prime upon approval, if at all, we must either develop manufacturing, sales, marketing and distribution capabilities, which is expensive and time-consuming, or enter into arrangements with third parties to perform these services.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to support the anticipated U.S. launch and commercialization of the CGuard Prime carotid stent system. During 2024, we started the build-out of the infrastructure for commercial operations in the U.S. designed to support the anticipated commercialization of the CGuard Prime carotid stent system. In addition, to support our anticipated production growth following the anticipated commercialization of the CGuard Prime carotid stent system, we have engaged Aptyx, a contract manufacturer, to transfer the manufacturing of CGuard Prime finished goods to full-scale production at their ISO Class 7 cleanroom facility in North Carolina.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risks involved with establishing our own sales, marketing and distribution capabilities and partnering with a third party manufacturer.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176"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manufacturing, sales and marketing personnel;</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physicians to use our stents;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obtaining reimbursement from governmental and commercial payers;</w:t>
      </w:r>
    </w:p>
    <w:p>
      <w:pPr>
        <w:spacing w:after="0" w:line="22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and sustaining an independent manufacturing, sales and marketing organization.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not be successful in recruiting the manufacturing, sales and marketing personnel necessary to sell CGuard Prime upon approval, if at all, and, even if we do build a sales force, we may not be successful in marketing CGuard Prime, which would have a material adverse effect on our business, financial condition and results of operations.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we are unable to establish our own manufacturing, sales, marketing and distribution capabilities or enter into successful arrangements with third parties to perform these services, any future product revenues and our profitability, may be materially adversely affected.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Physicians may not widely adopt our products unless they determine, based on experience, long-term clinical data and published peer reviewed journal articles, among other standard-of-care considerations, that the use of our stents provides a safe and effective alternative to other existing treatments for coronary artery disease and carotid artery disease.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physicians will not widely adopt our products unless they determine, based on experience, long-term clinical data, published peer reviewed journal articles and payor coverage policies, among other factors, that the use of our products provide a safe and effective alternative to other existing treatments for the conditions we are seeking to address.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we fail to demonstrate safety and efficacy that is at least comparable to existing and future therapies available on the market, our ability to successfully market our products will be significantly limited. Even if the data collected from clinical studies or clinical experience indicate positive results, each physician’s actual experience with our products will vary. Clinical trials conducted with our products may involve procedures performed by physicians who are technically proficient and are high-volume stent users of such products. Consequently, both short-term and long-term results reported in these clinical trials may be significantly more favorable than typical results of practicing physicians, which could negatively affect rates of adoptions of our products. We also believe that published peer-reviewed journal articles and recommendations and support by influential physicians regarding our products will be important for market acceptance and adoption, and we cannot assure you that we will receive these recommendations and support, or that supportive articles will be published.</w:t>
      </w:r>
    </w:p>
    <w:p>
      <w:pPr>
        <w:spacing w:after="0" w:line="18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manufacturing risks that could adversely affect our ability to manufacture products, reduce our gross margins and negatively affect our business and operating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strategy following the anticipated commercialization of the CGuard Prime carotid stent system depends on our ability to manufacture, and our contract manufacturers’ ability to manufacture, our current and future products in sufficient quantities and on a timely basis to meet customer demand, while adhering to product quality standards, complying with regulatory quality system requirements and managing manufacturing costs. We currently manufacture our CGuard EPS and our CGuard Prime at our own facility in Israel where we handle the entire assembly process for CGuard EPS and CGuard Prime, including knitting and securing the sleeve to the stent and the crimping of the sleeved stent into a delivery catheter. In addition, to support our anticipated production growth following the anticipated commercialization of the CGuard Prime carotid stent system, we have engaged Aptyx, a contract manufacturer, to transfer the manufacturing of CGuard Prime finished goods to full-scale production at their ISO Class 7 cleanroom facility in North Carolina. If our or our manufacturing partners’ facilities suffers damage, or a force majeure event, this could materially impact our ability to operate.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color w:val="auto"/>
        </w:rPr>
        <w:t>We are also subject to numerous other risks relating to our manufacturing capabilities, including:</w:t>
      </w:r>
    </w:p>
    <w:p>
      <w:pPr>
        <w:spacing w:after="0" w:line="225"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reliability of components, sub-assemblies and materials that we source from third-party suppliers, who are required to meet our quality specifications, the majority of which are our single-source suppliers for the products they supply;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secure components, sub-assemblies and materials in a timely manner, in sufficient quantities or on commercially reasonable terms;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maintain compliance with quality system requirements or pass regulatory quality inspections;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failure to develop products in a timely manner or to required specifications or to increase production capacity or volumes to meet demand;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manufacturing partners’ inability to design or modify production processes to enable us to produce future products efficiently or implement changes in current products in response to design or regulatory requirements;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and obtaining new regulatory approvals, for alternative suppliers for components in a timely manner.</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demand for our products increases, we will have to invest additional resources to purchase components, sub-assemblies and materials, hire and train employees, and enhance our manufacturing processes. If we or our manufacturing partners fail to increase our production capacity efficiently, we may not be able to fill customer orders on a timely basis, our sales may not increase in line with our expectations, and our operating margins could fluctuate or decline. In addition, although we expect some of our products in development to share product features, components, sub-assemblies and materials with our existing products, the manufacture of these products may require modification of our or our manufacturing partners’ current production processes or unique production processes, the hiring of specialized employees, the identification of new suppliers for specific components, sub-assemblies and materials or the development of new manufacturing technologies. It may not be possible for us or our manufacturing partners to manufacture these products at a cost or in quantities sufficient to make these products commercially viable or to maintain current gross margins, all of which could have a material adverse effect on our business, financial condition and results of operations.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Finally, the production of our stents must occur in a highly controlled, clean environment to minimize particles and other yield and quality-limiting contaminants. In spite of stringent quality controls, weaknesses in process control or minute impurities in materials may cause a substantial percentage of defective products in a lot. If we or our third party manufacturer are unable to maintain stringent quality controls, or if contamination problems arise, our clinical development and commercialization efforts could be delayed, which would harm our business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CGuard and Switch Guard are complex medical devices that requires training for qualified personal.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CGuard and SwitchGuard are complex medical devices that requires training for qualified personal, including physicians. Although our distributors will be required to ensure that CGuard and SwitchGuard is prescribed only by trained clinicians, the potential for misuse of CGuard and SwitchGuard still exists due to its complexity. Such misuse could result in adverse medical consequences for patients that could damage our reputation, subject us to costly product liability litigation and otherwise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an intensely competitive and rapidly changing business environment, and there is a substantial risk our products could become obsolete or uncompetitive.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medical device market is highly competitive. We compete with many medical device companies globally in connection with our current products and products under development. We face intense competition from numerous pharmaceutical and biotechnology companies in the therapeutics area, as well as competition from academic institutions, government agencies and research institutions. Abbott Laboratories, Boston Scientific Corporation, Medtronic, Cordis Corporation and Terumo Medical Corporation produce a polytetrafluoroethylene mesh-covered stent and a double layer metal stent, respectively As we develop and seek regulatory approval in the United States and Europe for our new TCAR neuroprotection system SwitchGuard and continue to seek greater market share for CGuard, we expect to compete with Silk Road Medical, which was acquired by Boston Scientific Corporation, in the total carotid artery revascularization market that comprises CAS, TCAR and CEA. Most of our current and potential competitors, including but not limited to those listed above, have, and will continue to have, substantially greater financial, technological, research and development, regulatory and clinical, manufacturing, marketing and sales, distribution and personnel resources than we do. There can be no assurance that we will have sufficient resources to successfully commercialize our products, if and when they are approved for sale. The worldwide market for stent products is characterized by intensive development efforts and rapidly advancing technology. For example, during the second quarter of 2022 we ceased sales of our MGuard Prime EPS following a phase out period due to a shift in industry preferences. Our future success will depend largely upon our ability to anticipate and keep pace with those developments and advances. Current or future competitors could develop alternative technologies, products or materials that are more effective, easier to use or more economical than what we or any potential licensee develop. If our technologies or products become obsolete or uncompetitive, our related product sales and licensing revenue would decrease. This would have a material adverse effect on our business, financial condition and results of operations.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by much larger and better capitalized competitors enforcing their intellectual property rights against us or seeking to invalidate our intellectual property or our rights thereto.</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Based on the prolific litigation that has occurred in the stent industry and the fact that we may pose a competitive threat to some large and well-capitalized companies that own or control patents relating to stents and their use, manufacture and delivery, we believe that it is possible that one or more third parties will assert a patent infringement claim against the manufacture, use or sale of our stents based on one or more of these patents. These companies also own patents relating to the use of drugs to treat restenosis, stent architecture, catheters to deliver stents, and stent manufacturing and coating processes and compositions, as well as general delivery mechanism patents like rapid exchange, which might be alleged to cover one or more of our products. In addition, it is possible that a lawsuit of which we are not aware asserting patent infringement, misappropriation of intellectual property, or related claims may have already been filed against us. As the number of competitors in the stent market grows and as the geographies in which we commercially market grow in number and scope, the possibility of patent infringement by us, and/or a patent infringement or misappropriation claim against us, increases.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have maintained their positions in the market by, among other things, establishing intellectual property rights relating to their products and enforcing these rights aggressively against their competitors and new entrants into the market. All the major companies in the field of stents and related markets, including Boston Scientific, C.R. Bard, Inc., W.L. Gore &amp; Associates and Medtronic, have been repeatedly involved in patent litigation relating to stents since at least 1997. The field of stents and related markets have experienced rapid technological change and obsolescence in the past, and our competitors have strong incentives to stop or delay the introduction of new products and technologies. We may pose a competitive threat to many of the companies in these markets. Accordingly, these companies will have a strong incentive to take steps, through patent litigation or otherwise, to prevent us from distributing our products. Such litigation or claims would divert attention and resources away from the development and/or commercialization of our products and could result in an adverse court judgment that would make it impossible or impractical to sell our products in one or more territories.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establish satisfactory agreements or arrangements with suppliers or if we experience an interruption of the supply of materials from suppliers, we may not be able to obtain materials that are necessary to develop our products.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depend on outside suppliers for certain raw materials. These raw materials or components may not always be available at our standards or on acceptable terms, if at all, and we may be unable to locate alternative suppliers or produce necessary materials or components on our own.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Some of the components of our products are currently provided by only one vendor, or a single-source supplier. We may have difficulty obtaining similar components from other suppliers that are acceptable to the FDA or foreign regulatory authorities if it becomes necessary. In 2022, our mesh supplier informed us that they will not be able to supply the polymer fiber in the future due to supply issues with the current PET resin. Therefore we purchased inventory which should be sufficient to support our production needs until the end of 2027. We are currently testing a different source of PET showing equivalent mechanical properties and biocompatibility of the original raw material. However there can be no assurance that the alternative source will result in successful validation and if we are unable to timely source an alternative supplier this could result regulatory delays and the interruption of our manufacturing and delivery of stents for an extended period of time which would delay completion of our clinical trials or commercialization of our products.</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we will be required to obtain prior regulatory approval from the FDA or foreign regulatory authorities to use different suppliers or components that may not be as safe or as effective. As a result, regulatory approval of our products may not be received on a timely basis or at all.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Finally, we rely on a third-party vendor to perform the sterilization process. A third-party vendor’s failure to properly sterilize a component may cause delays or disruptions in our manufacturing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inflation could adversely affect our business, financial condition, results of operations or cash flows.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Inflation and some of the measures taken by or that may be taken by the governments in countries where we operate in an attempt to curb inflation may have negative effects on the economies of those countries generally. If the United States or other countries where we operate experience substantial inflation in the future, our business may be adversely affected. This could have a material adverse impact on our business, financial condition, results of operations or cash flows.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Clinical Trials and Regulatory Matters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Completing clinical trials for CGuard, SwitchGuard or any other product we develop in the United States require meeting a number of regulatory requirements and must be conducted in compliance with the FDA’s IDE regulations. Failure to maintain compliance with IDE regulations could have a material adverse effect on our business.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Clinical trials involve use of a medical device on human subjects under the supervision of qualified investigators in accordance with current Good Clinical Practices, including the requirement that all research subjects provide informed consent for their participation in the clinical study. The FDA classifies medical device candidates into “significant risk” and “non-significant risk” devices. Significant risk devices present a potential for serious risk to the health, safety, or welfare of a subject. Examples may include implants, devices that support or sustain human life, and devices that are substantially important in diagnosing, curing, mitigating, or treating disease or in preventing impairment to human health. If a medical device candidate presents a significant risk, an IDE application must be submitted and approved prior to commencing any human clinical trials in the United States in connection with such device.</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our IDE approval, we must apply for and obtain IRB approval in connection with each clinical study site before commencing any study activities. A written protocol with predefined end points, an appropriate sample size, and pre-determined patient inclusion and exclusion criteria, is also required before we may initiate or conduct the trial.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Importantly, the C-GUARDIANS and C-GUARDIANS II trials and any others that we are conducting or may conduct in the future, must be conducted in accordance with the FDA’s IDE regulations, which, among other things, establish requirements for investigational device labeling, prohibit pre-approval promotion of a device candidate, and specify recordkeeping, reporting, and monitoring responsibilities of study sponsors and study investigators.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be able to obtain IRB approval to undertake clinical trials in the United States for any products we intend to market in the United States in the future. If we do obtain such approvals, we may not be able to conduct studies which comply with the IDE and other regulations governing clinical investigations or the data from any such trials may not support clearance or approval of the investigational device. Failure to obtain such approvals or to comply with such regulations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Relatedly, certainty that clinical trials must meet FDA requirements, including desired endpoints, produce meaningful or useful data, and be free of unexpected adverse effects, or that the FDA will accept the validity of foreign clinical study data, as applicable, cannot be guaranteed, and such uncertainty could preclude or delay regulatory approvals and commercialization, resulting in significant financial costs and reduced revenue. Moreover, the timing of the commencement, continuation, and completion of any future clinical trial may be subject to significant delays attributable to various causes, including, but not limited to, scheduling conflicts with participating clinicians and clinical institutions, difficulties in identifying and enrolling patients who meet trial eligibility criteria, failure of patients to complete the clinical trial, delay in or failure to meet regulatory and/or IRB requirements to conduct a clinical trial at a one or more prospective sites, and shortages of supply in the investigational device.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necessary to support a PMA application are lengthy and expensive and require the enrollment of a large number of patients, and suitable patients may be difficult to identify and recruit. Any such delay or failure of clinical trials could prevent us from commercializing our stent products, which would materially and adversely affect our results of operations and the value of our business.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Clinical trials necessary to support a pre-market approval application to the FDA for our products, including CGuard, SwitchGuard and any other product we develop are expensive and require the enrollment of a large number of patients, and suitable patients may be difficult to identify and recruit, which may cause a delay in the development and commercialization of our products. Patient enrollment in clinical trials and the ability to successfully complete patient follow-up depends on many factors, including the size of the patient population, the nature of the trial protocol, the proximity of patients to clinical sites, the eligibility criteria for the clinical trial and patient compliance. For example, patients may be discouraged from enrolling in our clinical trials if the trial protocol requires them to undergo extensive post-treatment procedures or follow-up to assess the safety and efficacy of our products, or they may be persuaded to participate in contemporaneous clinical trials of competitive products. In addition, patients participating in our clinical trials may die before completion of the trial or suffer adverse medical events unrelated to or related to our products. Delays in patient enrollment or failure of patients to continue to participate in a clinical trial, including during a follow-up period, may cause an increase in costs and delays or result in the failure of the clinical trial.</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the length of time required to complete clinical trials for pharmaceutical and medical device products varies substantially according to the degree of regulation and the type, complexity, novelty and intended use of a product, and can continue for several years and cost millions of dollars. The commencement and completion of clinical trials for our products under development may be delayed by many factors, including governmental or regulatory delays and changes in regulatory requirements, policy and guidelines or our inability or the inability of any potential licensee to manufacture or obtain from third parties materials sufficient for use in preclinical studies and clinical trials.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results of our C-GUARDIANS trial as well as any other clinical trials may be insufficient to obtain regulatory approval for our products.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only receive regulatory approval to commercialize CGuard Prime, SwitchGuard or any other product we develop if we can demonstrate to the satisfaction of the FDA or the applicable foreign regulatory agency, in well designed and conducted clinical trials, that the product is safe and effective. If we are unable to demonstrate that a product is safe and effective in advanced clinical trials involving large numbers of patients, we will be unable to submit the necessary application to receive regulatory approval to commercialize the product. We face risks that:</w:t>
      </w:r>
    </w:p>
    <w:p>
      <w:pPr>
        <w:spacing w:after="0" w:line="180"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not prove to be safe or effective;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benefits may not outweigh its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from advanced clinical trials may not confirm the positive results from pre-clinical studies and early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interpret data from pre-clinical and clinical testing in different ways than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require additional or expanded trials and data.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Patients may discontinue their participation in our clinical studies, which may negatively impact the results of these studies and extend the timeline for completion of our development programs.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Clinical trials for our products require sufficient patient enrollment. We may not be able to enroll a sufficient number of patients in a timely or cost-effective manner. Patients enrolled in our clinical studies may discontinue their participation at any time during the study as a result of a number of factors, including withdrawing their consent or experiencing adverse clinical events, which may or may not be judged to be related to our products under evaluation. If a large number of patients in a study discontinue their participation in the study, the results from that study may not be positive or may not support a filing for regulatory approval of the product.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time required to complete clinical trials is dependent upon, among other factors, the rate of patient enrollment. Patient enrollment is a function of many factors, including the following:</w:t>
      </w:r>
    </w:p>
    <w:p>
      <w:pPr>
        <w:spacing w:after="0" w:line="162"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clinical protocol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or marketed therapies (whether approved or experimental);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manage clinical centers and associated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sites;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CGuard Prime, SwitchGuard or any other product we develop receives marketing approval, we or others may later discover that the product is less effective than previously believed or causes undesirable side effects that were not previously identified, which could compromise our ability or that of any collaborators to market the product, and could cause regulatory authorities to take certain regulatory actions.</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It is possible that our clinical trials may indicate an apparent positive effect of a product that is greater than the actual positive effect, if any, or alternatively fail to identify undesirable side effects. For example, we, or others, may discover that our products are less safe and effective than previously believed. If, we, or others, discover that a product is less effective than previously believed or causes undesirable side effects that were not previously identified, any of the following adverse events could occur:</w:t>
      </w:r>
    </w:p>
    <w:p>
      <w:pPr>
        <w:spacing w:after="0" w:line="180"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 or seize the product;</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recall the product, change the way the product is administered or conduct additional clinical trials;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restrictions may be imposed on the marketing of, or the manufacturing processes of, the particular product;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subject to fines, injunctions or the imposition of civil or criminal penalties;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 including with the product;</w:t>
      </w: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collaborators, may be required to create a Medication Guide outlining the risks of the previously unidentified side effects for distribution to patients;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and patients may stop using our product;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events could harm our business and operations and could negatively impact our stock price.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3" w:name="page44"/>
    <w:bookmarkEnd w:id="4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may in the future be subject to product notifications, recalls, or voluntary market withdrawals that could harm our reputation, business and financial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After regulatory approval has been obtained for medical device products, the product and the manufacturer are subject to continual review, including the review of adverse events and clinical results that are reported after our products are made available to patients, and there can be no assurance that such approval will not be withdrawn or restricted. Regulators may also subject approvals to restrictions or conditions or impose post-approval obligations on the holders of these approvals, and the regulatory status of such products may be jeopardized if such obligations are not fulfilled. If post-approval studies are required, such studies may involve significant time and expense.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manufacturing and marketing of medical devices involves an inherent risk that our products may prove to be defective and cause a health risk even after regulatory clearances have been obtained. Medical devices may also be modified after regulatory clearance is obtained to such an extent that additional regulatory clearance is necessary before the device can be further marketed. In these events, we may voluntarily implement a recall or market withdrawal or may be required to do so by a regulatory authority.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European Economic Area, we must comply with the EU Medical Device Vigilance System. Under this system, manufacturers are required to take Field Safety Corrective Actions (“FSCAs”) to reduce a risk of death or serious deterioration in the state of health associated with the use of a medical device that is already placed on the market. A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adverse event involving our products could result in other future voluntary corrective actions, such as recalls or customer notifications, or agency action, such as inspection or enforcement action. Adverse events have been reported to us in the past, and we cannot guarantee that they will not occur in the future. Any corrective action, whether voluntary or involuntary, as well as defending ourselves in a lawsuit, would require the dedication of our time and capital, distract management from operating our business and could harm our reputation and financial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only limited experience in regulatory affairs, which may affect our ability, or the time required, to navigate complex regulatory requirements and obtain necessary regulatory approvals, if such approvals are received at all. Regulatory delays or denials may increase our costs, cause us to lose revenue and materially and adversely affect our results of operations and the value of our business.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long-term success measures have not been completely validated for our products, especially CGuard, SwitchGuard and any other product we may develop, regulatory agencies may take a significant amount of time in evaluating product approval applications. Treatments may exhibit a favorable measure using one metric and an unfavorable measure using another metric. Any change in accepted metrics may result in reconfiguration of, and delays in, our clinical trials. Additionally, we have only limited experience in filing and prosecuting the applications necessary to gain regulatory approvals, and our clinical, regulatory and quality assurance personnel are currently composed of only ten employees. As a result, we may experience delays in connection with obtaining regulatory approvals for our products.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the products we and any potential licensees license, develop, manufacture and market are subject to complex regulatory requirements, particularly in the United States, Europe and Asia, which can be costly and time-consuming. There can be no assurance that such approvals will be granted on a timely basis, if at all. Furthermore, there can be no assurance of continued compliance with all regulatory requirements necessary for the manufacture, marketing and sale of the products we will offer in each market where such products are expected to be sold, or that products we have commercialized will continue to comply with applicable regulatory requirements. If a government regulatory agency were to conclude that we were not in compliance with applicable laws or regulations, the agency could institute proceedings to detain or seize our products, issue a recall, impose operating restrictions, enjoin future violations and assess civil and criminal penalties against us, our officers or employees and could recommend criminal prosecution. Furthermore, regulators may proceed to ban, or request the recall, repair, replacement or refund of the cost of, any device manufactured or sold by us. Furthermore, there can be no assurance that all necessary regulatory approvals will be obtained for the manufacture, marketing and sale in any market of any new product developed or that any potential licensee will develop using our licensed technology.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4" w:name="page45"/>
    <w:bookmarkEnd w:id="4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products are approved by regulatory authorities, if we or our suppliers fail to comply with ongoing regulatory requirements, or if we experience unanticipated problems with our products, these products could be subject to restrictions or withdrawal from the market.</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regulatory approvals that we receive for our products will require surveillance to monitor the safety and efficacy of the product and may require us to conduct post-approval clinical studies. In addition, if a regulatory authority approves our products, the manufacturing processes, labeling, packaging, distribution, adverse event reporting, storage, advertising, promotion, import, export and recordkeeping for our products will be subject to extensive and ongoing regulatory requirements.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Moreover, if we obtain regulatory approval for any of our products, we will only be permitted to market our products for the indication approved by the regulatory authority, and such approval may involve limitations on the indicated uses or promotional claims we may make for our products. In addition, later discovery of previously unknown problems with our products, including adverse events of unanticipated severity or frequency, or with our suppliers or manufacturing processes, or failure to comply with regulatory requirements, may result in, among other things:</w:t>
      </w:r>
    </w:p>
    <w:p>
      <w:pPr>
        <w:spacing w:after="0" w:line="18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products, withdrawal of the product from the market, or voluntary or mandatory product recalls;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untitled letters;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holds on clinical trials;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regulatory authority to approve pending applications or supplements to approved applications filed by us or suspension or revocation of license approvals;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the imposition of civil penalties or criminal prosecution.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FDA also requires that our sales and marketing efforts, as well as promotions, be consistent with various laws and regulations. Approved medical device promotions must be consistent with and not contrary to labeling, balanced, truthful and not false or misleading, adequately substantiated (when required), and include adequate directions for use and any warnings that may be required in the use of the device. In addition to the requirements applicable to approved products, we may also be subject to enforcement action in connection with any promotion of an investigational new device. A sponsor or investigator, or any person acting on behalf of a sponsor or investigator, may not represent in a promotional context that an investigational new device is safe or effective for the purposes for which it is under investigation or otherwise promote the device.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FDA investigates our marketing and promotional materials or other communications and finds that any of our investigational devices, or future commercial products, if any, are being marketed or promoted in violation of the applicable regulatory restrictions, we could be subject to the enforcement actions listed above, among others. Any enforcement action (or related lawsuit, which could follow such action) brought against us in connection with alleged violations of applicable device promotion requirements, or prohibitions, could harm our business and our reputation, as well as the reputation of any devices that may be approved for marketing in the U.S. in the future.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applicable regulatory authorities’ policies may change, and additional government regulations may be enacted that could prevent, limit or delay regulatory approval of our products.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regulatory approval in foreign jurisdictions will prevent us from marketing our products in such jurisdictions.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market CGuard EPS in certain international markets. In order to market any our products in other foreign jurisdictions, we must obtain separate regulatory approvals from the appropriate governing body in each applicable country. The approval processes vary among countries and can involve additional testing, and the time required to obtain approval may differ from that required to obtain CE mark or FDA approval. Foreign regulatory approval processes may include all of the risks associated with obtaining CE mark or FDA approval in addition to other risks. We may not obtain foreign regulatory approvals on a timely basis, if at all. CE mark approval or any future FDA approval does not ensure approval by regulatory authorities in other countries. We may not be able to file for regulatory approvals and may not receive necessary approvals to commercialize our products in certain markets.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or may be, subject to federal, state and foreign healthcare laws and regulations and implementation of or changes to such healthcare laws and regulations could adversely affect our business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are laws and regulations specific to the healthcare industry which may affect all aspects of our business, including development, testing, marketing, sales, pricing, and reimbursement. Additionally, there have been a number of legislative and regulatory proposals in recent years to change the healthcare system in ways that could impact our ability to sell our products. If we are found to be in violation of any of these laws or any other federal or state regulations, we may be subject to administrative, civil and/or criminal penalties, damages, fines, individual imprisonment, exclusion from federal healthcare programs and the restructuring of our operations. Any of these could have a material adverse effect on our business and financial results. Since many of these laws have not been fully interpreted by the courts, there is an increased risk that we may be found in violation of one or more of their provisions. Any action against us for violation of these laws, even if we ultimately are successful in our defense, will cause us to incur significant legal expenses and divert our management’s attention away from the operation of our business.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directly or indirectly, to applicable U.S. federal and state anti-kickback, false claims laws, physician payment transparency laws, fraud and abuse laws or similar healthcare and security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Healthcare providers, physicians and others will play a primary role in the recommendation, ordering and utilization of any products for which we obtain regulatory approval. If we obtain U.S. Food &amp; Drug Administration approval for any of our products and begin commercializing those products in the United States, our operations may be subject to various federal and state fraud and abuse laws, including, without limitation, the federal Anti-Kickback Statute, the federal False Claims Act, and physician payment sunshine laws and regulations. These laws may impact, among other things, our potential sales, marketing and education programs. In addition, we may be subject to patient privacy regulation by both the federal government and the states in which we conduct our business. The laws that may affect our ability to operate include:</w:t>
      </w:r>
    </w:p>
    <w:p>
      <w:pPr>
        <w:spacing w:after="0" w:line="187" w:lineRule="exact"/>
        <w:rPr>
          <w:sz w:val="20"/>
          <w:szCs w:val="20"/>
          <w:color w:val="auto"/>
        </w:rPr>
      </w:pPr>
    </w:p>
    <w:p>
      <w:pPr>
        <w:jc w:val="both"/>
        <w:ind w:left="660" w:hanging="4"/>
        <w:spacing w:after="0" w:line="261" w:lineRule="auto"/>
        <w:tabs>
          <w:tab w:leader="none" w:pos="8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False Claims Act, which may be pursued through civil whistleblower or qui tam actions, impose criminal and civil penalties against individuals or entities for knowingly presenting, or causing to be presented, to the federal government, claims for payment or approval from Medicare, Medicaid or other third-party payors that are false or fraudulent or making a false statement to avoid, decrease or conceal an obligation to pay money to the federal government;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6" w:name="page47"/>
    <w:bookmarkEnd w:id="46"/>
    <w:p>
      <w:pPr>
        <w:jc w:val="both"/>
        <w:ind w:left="660" w:hanging="4"/>
        <w:spacing w:after="0" w:line="256" w:lineRule="auto"/>
        <w:tabs>
          <w:tab w:leader="none" w:pos="8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statutes created through the Health Insurance Portability and Accountability Act of 1996 (“HIPAA”), which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87" w:lineRule="exact"/>
        <w:rPr>
          <w:rFonts w:ascii="Times New Roman" w:cs="Times New Roman" w:eastAsia="Times New Roman" w:hAnsi="Times New Roman"/>
          <w:sz w:val="18"/>
          <w:szCs w:val="18"/>
          <w:color w:val="auto"/>
        </w:rPr>
      </w:pPr>
    </w:p>
    <w:p>
      <w:pPr>
        <w:jc w:val="both"/>
        <w:ind w:left="660" w:hanging="4"/>
        <w:spacing w:after="0" w:line="261" w:lineRule="auto"/>
        <w:tabs>
          <w:tab w:leader="none" w:pos="8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their respective implementing regulations, which imposes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179" w:lineRule="exact"/>
        <w:rPr>
          <w:rFonts w:ascii="Times New Roman" w:cs="Times New Roman" w:eastAsia="Times New Roman" w:hAnsi="Times New Roman"/>
          <w:sz w:val="18"/>
          <w:szCs w:val="18"/>
          <w:color w:val="auto"/>
        </w:rPr>
      </w:pPr>
    </w:p>
    <w:p>
      <w:pPr>
        <w:jc w:val="both"/>
        <w:ind w:left="660" w:hanging="4"/>
        <w:spacing w:after="0" w:line="256" w:lineRule="auto"/>
        <w:tabs>
          <w:tab w:leader="none" w:pos="82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Patient Protection and Affordable Care Act and the Health Care and Education Reconciliation Act, enacted into law in the United States in March 2010 (known collectively as the “Affordable Care Act”), including the provision commonly referred to as the Physician Payments Sunshine Act, which requires manufacturers of drugs, biologics, devices and medical supplies for which payment is available under Medicare, Medicaid or the Children’s Health Insurance Program to report annually to the U.S. Department of Health and Human Services information related to payments or other transfers of value made to physicians and teaching hospitals, as well as ownership and investment interests held by physicians and their immediate family members; and</w:t>
      </w:r>
    </w:p>
    <w:p>
      <w:pPr>
        <w:spacing w:after="0" w:line="187" w:lineRule="exact"/>
        <w:rPr>
          <w:rFonts w:ascii="Times New Roman" w:cs="Times New Roman" w:eastAsia="Times New Roman" w:hAnsi="Times New Roman"/>
          <w:sz w:val="18"/>
          <w:szCs w:val="18"/>
          <w:color w:val="auto"/>
        </w:rPr>
      </w:pPr>
    </w:p>
    <w:p>
      <w:pPr>
        <w:ind w:left="660" w:hanging="4"/>
        <w:spacing w:after="0" w:line="282" w:lineRule="auto"/>
        <w:tabs>
          <w:tab w:leader="none" w:pos="83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consumer protection and unfair competition laws, which broadly regulate marketplace activities and activities that potentially harm consumers.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we may be subject to state and non-U.S. equivalents of each of the healthcare laws described above, among others, some of which may be broader in scope and may apply regardless of the payor. Many U.S. states have adopted laws similar to the federal Anti-Kickback Statute, some of which apply to the referral of patients for healthcare services reimbursed by any source, not just governmental payors, including private insurers. Several states impose marketing restrictions or require medical device companies to make marketing or price disclosures to the state. There are ambiguities as to what is required to comply with these state requirements, and if we fail to comply with an applicable state law requirement, we could be subject to penalties.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future business activities could be subject to challenge under one or more of such laws. In addition, healthcare reform legislation has strengthened these laws. For example, the Affordable Care Act, among other things, amended the intent requirement of the federal Anti-Kickback and criminal healthcare fraud statutes. As a result of such amendment, a person or entity no longer needs to have actual knowledge of these statutes or specific intent to violate them in order to have committed a violation. Moreover, the Affordable Care Act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Violations of fraud and abuse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False Claims Act as well, as under the false claim laws of several states.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existing or future business practices do not comply with current or future statutes, regulations or case law involving applicable fraud and abuse or other healthcare laws and regulations. Any such actions instituted against us could have a significant adverse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Even if we are successful in defending against such actions, we may nonetheless be subject to substantial costs, reputational harm and adverse effects on our ability to operate our business. In addition, the approval and commercialization of any of our products outside the United States will also likely subject us to non-U.S. equivalents of the healthcare laws mentioned above, among other non-U.S. laws.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any of our employees, agents, or the physicians or other providers or entities with whom we expect to do business are found to have violated applicable laws, we may be subject to criminal, civil or administrative sanctions, including exclusions from government funded healthcare programs, or, if we are not subject to such actions, we may suffer reputational harm for conducting business with persons or entities found, or accused of being, in violation of such laws. Any such events could adversely affect our ability to operate our business and our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product liability claims and insurance may not be sufficient to cover these claims.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be exposed to product liability claims based on the use of any of our products, or products incorporating our licensed technology, in the market or clinical trials. We may also be exposed to product liability claims based on the sale of any products under development following the receipt of regulatory approval. Product liability claims could be asserted directly by consumers, health-care providers or others. We have obtained product liability insurance coverage; however, such insurance may not provide full coverage for our future clinical trials, products to be sold, and other aspects of our business. Insurance coverage is becoming increasingly expensive, and we may not be able to maintain current coverage or expand our insurance coverage to include future clinical trials or the sale of new products or existing products in new territories, at a reasonable cost or in sufficient amounts to protect against losses due to product liability or at all. A successful product liability claim, or series of claims brought against us could result in judgments, fines, damages and liabilities that could have a material adverse effect on our business, financial condition and results of operations. We may incur significant expense investigating and defending these claims, even if they do not result in liability. Moreover, even if no judgments, fines, damages or liabilities are imposed on us, our reputation could suffer, which could have a material adverse effect on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one or more of our products are approved by the FDA, we may fail to obtain an adequate level of reimbursement for our products by third party payors, such that there may be no commercially viable markets for our products, or the markets, may be much smaller than expected.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availability and levels of reimbursement by governmental and other third-party payors affect the market for our products. The efficacy, safety, performance and cost-effectiveness of our products and of any competing products are factors that may impact the availability and level of reimbursement. Reimbursement and healthcare payment systems in international markets vary significantly by country and include both government sponsored healthcare and private insurance. To obtain reimbursement or pricing approval in some countries, we may be required to produce clinical data, which may involve one or more clinical trials that compares the cost-effectiveness of our products to other available therapies. We may not obtain international reimbursement or pricing approvals in a timely manner, if at all. Our failure to receive international reimbursement or pricing approvals would negatively impact market acceptance of our products in the international markets in which those approvals are sought.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future reimbursement may be subject to increased restrictions both in the U.S. and in international markets. There is increasing pressure by governments worldwide to contain healthcare costs by limiting both the coverage and the level of reimbursement for therapeutic products and by refusing, in some cases, to provide any coverage for products that have not been approved by the relevant regulatory agency. Future legislation, regulation or reimbursement policies of third-party payors may adversely affect the demand for our products and limit our ability to sell our products on a profitable basis. In addition, third party payors continually attempt to contain or reduce the costs of healthcare by challenging the prices charged for healthcare products and services. If reimbursement for our products is unavailable or limited in scope or amount, or if pricing is set at unsatisfactory levels, market acceptance of our products would be impaired, and future revenues, if any, would be adversely affected.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United States and European Union, our business could be significantly and adversely affected by healthcare reform initiatives and/or other legislation or judicial interpretations of existing or future healthcare laws and/or regulations.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environment for health care policy generally may be changed with the new President. President Trump has begun to reduce the numbers of employees that work at the Department of Health and Human Services, that includes the FDA and CMS. In addition, there are evaluations of laws, like the Affordable Care Act, may be subject to modifications under the current leadership. With a reduction of employees at FDA, this would likely slow down the reviews and approvals of products. In addition, the reduction of employees from CMS may also slow down the payment for those individuals who have coverage under Medicare, Medicaid and the Affordable Care Act. It is difficult to assess what may occur. Uncertainties remain regarding what negative unintended consequences these provisions will have on patient access to new technologies, pricing and the market for our products. If Medicare, Medicaid and the Affordable Care Act, any significant reductions in coverage or payment for services may impact those beneficiaries who can’t get access to certain FDA approved products. In addition, lower reimbursement by government programs may shift costs to employees who have coverage from their employee or private payors. While there are some uncertainties regarding the U.S. coverage and payment for medical devices, the strength of the health care providers and payors are likely to work to mitigate some adverse issues that may impact the health care system.</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judicial and Congressional challenges to certain aspects of the Affordable Care Act, to modify, repeal or otherwise invalidate all, or certain provisions of, the Affordable Care Act. Following the enactment of the Tax Act, on December 14, 2018 in a case in the United States District Court for the Northern District of Texas, a federal judge ruled that the individual mandate imposed by the Affordable Care Act is unconstitutional and inseverable from the other provisions of the Affordable Care Act and, therefore, the remaining provisions of the Affordable Care Act are invalid. On November 10, 2020, the United States Supreme Court heard arguments on whether the Affordable Care Act is constitutional, in whole or in part, and determined that the case lacked standing. The regulatory process of implementation of the Affordable Care Act will remain ongoing and may also increase our regulatory burdens and operating costs. Litigation and legislation related to the Affordable Care Act are likely to continue, with unpredictable and uncertain results. We cannot predict with certainty what affect further changes to the Affordable Care Act, and other similar health care laws that are enacted, would have on our business.</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Affordable Care Act was enacted. These changes included aggregate reductions to Medicare payments to providers of up to two percent per fiscal year, which will remain in effect through 2027 unless additional Congressional action is taken. It is unclear what impact new quality and payment programs may have on our business, financial condition, results of operations or cash flows. Individual states in the United States have also become increasingly aggressive in passing legislation and implementing regulations designed to control product pricing, including price or patient reimbursement constraints, and discounts, and require marketing cost disclosure and transparency measures. We believe that additional state and federal health care reform measures may be adopted in the future that could have a material adverse effect on our industry generally and on our customers. Any changes in, or uncertainty with respect to, future reimbursement rates could impact our customers’ demand for our products, which in turn could have a material adverse effect on our business, financial condition, results of operations, or cash flows. Further, the federal, state and local governments, Medicare, Medicaid, managed care organizations, and foreign governments have in the past considered, are currently considering, and may in the future consider healthcare policies and proposals intended to curb rising healthcare costs, including those that could significantly affect both private and public reimbursement for healthcare services. Future significant changes in the healthcare systems in the United States or other countries, including changes intended to reduce expenditures along with uncertainty about whether and how changes may be implemented, could have a negative impact on the demand for our products. We are unable to predict with certainty whether other healthcare policies, including policies stemming from legislation or regulations affecting our business, may be proposed or enacted in the future; what effect such policies would have on our business; or the effect ongoing uncertainty about these matters will have on our customers’ purchasing decisions.</w:t>
      </w:r>
    </w:p>
    <w:p>
      <w:pPr>
        <w:spacing w:after="0" w:line="19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predict the impact that such actions against the Affordable Care Act and other laws enacted after its enactment will have on our business, and there is uncertainty as to what healthcare programs and regulations may be implemented or changed at the federal and/or state level in the United States, or the effect of any future legislation or regulation. Furthermore, we cannot predict what actions the Biden administration will implement in connection with laws impacting us. However, it is possible that such initiatives could have an adverse effect on our ability to obtain approval and/or successfully commercialize products in the United States in the future. For example, any changes that reduce, or impede the ability to obtain, reimbursement for the type of products we intend to commercialize in the United States (or our products more specifically, if approved) or reduce medical procedure volumes could adversely affect our business plan to introduce our products in the United States.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9" w:name="page50"/>
    <w:bookmarkEnd w:id="49"/>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May 2017, the European parliament and the council of the European Union approved the MDR which has replaced the existing medical device directives (93/42/EEC) and (90/385/EEC). The regulations entered into full application on May 26, 2021. The MDR provided a transitional period for placing on the market or putting into service of medical devices, which period was further extended on March 20. 2023, but such transitional provisions are not relevant to our products where already certified under the MDR. The MDR (as amended on January 10, 2025) imposes stricter requirements on medical device manufacturers and strengthens the supervising competences of the competent authorities of European Union member states, the notified bodies and the authorized representatives. If we fail to comply with the modified regulation and requirements, it can adversely affect our business, operating results and prospects. Any new regulations or revisions or reinterpretations of existing regulations may impose additional costs or lengthen review times of future products.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intellectual property protection covering our products, others may be able to make, use or sell our products, which would adversely affect our revenue.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protect our products from unauthorized or infringing use by third parties depends substantially on our ability to obtain and maintain valid and enforceable patents. Similarly, the ability to protect our trademark rights might be important to prevent third party counterfeiters from selling poor quality goods using our designated trademarks, and trade names. Due to evolving legal standards relating to the patentability, validity and enforceability of patents covering medical devices and pharmaceutical inventions and the scope of claims made under these patents, our ability to enforce patents is uncertain and involves complex legal and factual questions. Accordingly, rights under any of our pending patent applications and patents may not provide us with commercially meaningful protection for our products or may not afford a commercial advantage against our competitors or their competitive products or processes. In addition, patents may not be issued from any pending or future patent applications owned by or licensed to us, and moreover, patents that may be issued to us now or in the future may later be found invalid or unenforceable. Further, even if valid and enforceable, our patents may not be sufficiently broad to prevent others from marketing products like ours, despite our patent rights.</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validity of our patent claims depends, in part, on whether prior art references exist that describe or render obvious our inventions as of the filing date of our patent applications. We may not have identified all prior art, such as U.S. and foreign patents or published applications or published scientific literature, that could adversely affect the patentability of our issued patents and pending patent applications. For example, some material references may be in a foreign language and may not be uncovered during examination of our patent applications. Additionally, patent applications in the United States are maintained in confidence for up to 18 months after their filing. In some cases, however, patent applications remain confidential in the U.S. Patent and Trademark Office for the entire time prior to issuance as a U.S. patent. Patent applications filed in countries outside the U.S. are not typically published until at least 18 months from their first filing date. Similarly, publication of discoveries in the scientific or patent literature often lags behind actual discoveries. Therefore, we cannot be certain that we were the first to invent, or the first to file patent applications relating to, our stent technologies and related surgical technologies that we are developing. Third parties may initiate adversarial proceedings, known as an inter-partes review (IPR) in the U.S. Patent and Trademark Office to challenge the validity of our patent claims in the United States. It is possible that we may be unsuccessful in the proceedings, resulting in a loss of some portion or all of our patent rights in the United States.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statutory differences in patentable subject matter among jurisdictions may limit the protection we can obtain on certain of the technologies we develop. The laws of some foreign jurisdictions do not offer the same protection to, or may make it more difficult to effect the enforcement of, proprietary rights as in the United States. This risk may be exacerbated if we move our manufacturing to certain countries in Asia. If we encounter such difficulties or are otherwise precluded from effectively protecting our intellectual property rights in any foreign jurisdictions, our business prospects could be substantially harmed.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initiation of litigation to enforce our patent rights may prompt adversaries in such litigation to challenge the validity, scope, ownership, or enforceability of our patents. Third parties can sometimes bring challenges against a patent holder to resolve these issues, as well. If a court decides that any such patents are not valid, not enforceable, not wholly owned by us, or are of a limited scope, we may not have the right to stop others from using our inventions. Also, even if our patent rights are determined by a court to be valid and enforceable, they may not be sufficiently broad to prevent others from marketing products similar to ours or designing around our patents, despite our patent rights, nor do they provide us with freedom to operate unimpeded by the patent and other intellectual property rights of others that may cover our products. We may be forced into litigation to uphold the validity of the claims in our patent portfolio, as well as our ownership rights to such intellectual property, and litigation is often an uncertain and costly process.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not be able to protect our trade secrets adequately. Although we rely on non-disclosure and confidentiality agreements with employees, consultants and other parties to protect, in part, trade secrets and other proprietary technology, these agreements may be breached and we may not have adequate remedies for such breach. Moreover, others may independently develop equivalent proprietary information, and third parties may otherwise gain access to our trade secrets and proprietary knowledge. Any disclosure of confidential data into the public domain or to third parties could allow competitors to learn our trade secrets and use the information in competition against us.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failure to obtain or maintain patents, licensing agreements and other intellectual property rights that are sufficiently broad and protective could impact our ability to compete effectively.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compete effectively, we need to develop and maintain a proprietary position with regard to our own technologies, intellectual property, licensing agreements, product candidates and business. Legal standards relating to the validity and scope of patent claims in the US and other countries tend to be uncertain and changeable. Therefore, the degree of future protection for our proprietary rights in our core technologies and any products that might be made using these technologies is also uncertain. The risks and uncertainties that we face with respect to our patents and other proprietary rights include the following:</w:t>
      </w:r>
    </w:p>
    <w:p>
      <w:pPr>
        <w:spacing w:after="0" w:line="183" w:lineRule="exact"/>
        <w:rPr>
          <w:sz w:val="20"/>
          <w:szCs w:val="20"/>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some of our patents have been issued, the pending patent applications we have filed may not result in issued patents or may take longer than we expect to result in issued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initiate an inter parties review, or IPR, proceedings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interference proceedings in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 party may initiate opposition proceedings in foreign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are issued may not provide meaningful protection;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challenge patents licensed or issued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develop new and alternative technologies that do not fall within the scope of our patents;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design around patents we have developed;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patents is complex, uncertain and expensive.</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patent rights covering our products and methods are not sufficiently broad or not issued at all by the United States Patent and Trademark Office (the “USPTO”) or by foreign patent offices, we may not have adequate protection against competitors with similar products and technologies. Furthermore, if the USPTO or foreign patent offices issue patents to us or our licensors, others may challenge the patents or design around the patents, or the patent office or the courts may invalidate the patents. Thus, any patents we own or license from third parties may not provide any protection against our competitors.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cannot be certain that patents will be issued as a result of any pending applications, and we cannot be certain that any of our issued patents will give us adequate protection from competing products. For example, issued patents may be circumvented or challenged, declared invalid or unenforceable, or narrowed in scope. In addition, since publication of discoveries in the scientific or patent literature often lags behind actual discoveries, we cannot be certain that we were the first to make our inventions or to file patent applications covering those inventions.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It is also possible that others may obtain issued patents that could prevent us from commercializing our products or require us to obtain licenses requiring the payment of significant fees or royalties in order to enable us to conduct our business.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to patents and patent applications, we depend upon trade secrets and proprietary know-how to protect our proprietary technology. We require our employees, consultants, advisors and collaborators to enter into confidentiality agreements that prohibit the disclosure of confidential information to any other parties. We require our employees and consultants to disclose and assign to us their ideas, developments, discoveries and inventions. These agreements may not, however, provide adequate protection for our trade secrets, know-how or other proprietary information in the event of any unauthorized use or disclosure.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products and services, and we might be required to litigate or obtain licenses from third parties in order to develop or market our products. Such litigation or licenses could be costly or not available on commercially reasonable terms.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inherently difficult to conclusively assess our freedom to operate without infringing on third-party rights. Our competitive position may be adversely affected if existing patents or patents resulting from patent applications issued to third parties or other third-party intellectual property rights are held to cover our products or services or elements thereof, or our manufacturing or uses relevant to our development plans. In such cases, we may not be in a position to develop or commercialize products or services unless we successfully pursue litigation to nullify or invalidate the third-party intellectual property right concerned or enter into a license agreement with the intellectual property right holder, if available on commercially reasonable terms. There may also be pending patent applications that if they result in issued patents, could be alleged to be infringed by our new products or services. If such an infringement claim should be brought and be successful, we may be required to pay substantial damages, be forced to abandon our new products or services or seek a license from any patent holders. No assurances can be given that a license will be available on commercially reasonable terms, if at all.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is also possible that we have failed to identify relevant third-party patents or applications. For example, certain U.S. patent applications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new products or services could have been filed by others without our knowledge. Additionally, pending patent applications can, subject to certain limitations, be later amended in a manner that could cover our services, our new products or the use of our new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pursuing the development of and/or marketing our new products or services. If we fail in any such dispute, in addition to being forced to pay damages, we may be temporarily or permanently prohibited from commercializing our new products or services that are held to be infringing. We might, if possible, also be forced to redesign our new products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policy and rule changes could increase the uncertainties and costs surrounding the prosecution of our patent applications and the enforcement or defense of any issued patents.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Changes in either the patent laws or interpretation of the patent laws in the United States and other countries may diminish the value of any patents that may issue from our patent applications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were the first to file the invention claimed in our owned and licensed patent or pending applications, or that we or our licensor were the first to file for patent protection of such inventions. Assuming all other requirements for patentability are met, in the United States prior to March 15, 2013, the first to make the claimed invention without undue delay in filing, is entitled to the patent, while generally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are prosecuted and also affect patent litigation. In general, the Leahy-Smith Act and its implementation could increase the uncertainties and costs surrounding the prosecution of our patent applications and the enforcement or defense of any issued patents, all of which could have a material adverse effect on our business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intellectual property, which could be expensive, time consuming, and unsuccessful.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intellectual property. If we were to initiate legal proceedings against a third-party to enforce a patent covering one of our products or services, the defendant could counterclaim that the patent covering our product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Under the Leahy-Smith Act, the validity of U.S. patents may also be challenged in post-grant and inter partes review proceedings before the USPTO. The outcome following legal assertions of invalidity and unenforceability is unpredictable.</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Derivation and interference proceedings initiated by third parties or brought by us may be necessary to determine the priority and ownership of inventions and/or their scope with respect to our patent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new products or services to market.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company may attempt to commercialize competing products utilizing our proprietary design, trademarks or tradenames in foreign countries where we do not have sufficient patent protection and where legal recourse may be limited. This may have a significant commercial impact on our foreign business operations.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trademarks rights in foreign jurisdictions could result in substantial costs and divert our efforts and attention from other aspects of our business, could put our patents and trademarks at risk of being invalidated or interpreted narrowly and our patent or trademark applications at risk,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litigation and claims.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be involved in one or more lawsuits, claims or other proceedings arising in or outside the ordinary course of business that could negatively affect our business operations and financial condition. These suits could concern issues including contract disputes, employment actions, employee benefits, taxes, environmental, health and safety, fraud and abuse, personal injury, product liability matters and securities class actions, which are typically expensive to defend. Such claims and litigation proceedings may be brought by third parties, including our competitors, advisors, service providers, partners or collaborators, employees, and governmental or regulatory bodies. Any claims and lawsuits, and the disposition of such claims and lawsuits, could be time-consuming and expensive to resolve, divert management attention and resources, and lead to attempts on the part of other parties to pursue similar claims. We may not be able to determine the amount of any potential losses and other costs we may incur due to the inherent uncertainties of litigation and settlement negotiations. In the event we are required or decide to pay amounts in connection with any claims or lawsuits, such amounts could be significant and could have a material adverse impact on our liquidity, business, financial condition and results of operations. In addition, depending on the nature and timing of any such dispute, a resolution of a legal matter could materially affect our future operating results, our cash flows or both. Additionally, we may be unable to maintain our existing directors’ and officers’ liability insurance in the future at satisfactory rates or adequate coverage amounts and may incur significant increases in insurance costs.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deficiencies in our cyber-security.</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research data, our proprietary business information and that of our suppliers, technical information about our products, clinical trial plans and employee records. Similarly, our third-party providers possess certain of our sensitive data and confidential information. The secure maintenance of this information is critical to our operations and business strategy. Despite the implementation of security measures, our internal computer systems, and those of third parties on which we rely, are vulnerable to damage from computer viruses, malware, ransomware, cyber fraud,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Any such breach could compromise our networks and the information stored there could be accessed, publicly disclosed, encrypted, lost or stolen. Any such access, inappropriate disclosure of confidential or proprietary information or other loss of information, including our data being breached at third-party providers, could result in legal claims or proceedings, liability or financial loss under laws that protect the privacy of personal information, disruption of our operations or our product development programs and damage to our reputation, which could adversely affect our business. For example, the loss of clinical trial data from completed or ongoing or planned clinical trials could result in delays in our regulatory approval efforts and significantly increase our costs to recover or reproduce the data.</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key members of our senior management team or our inability to attract and retain highly skilled scientists and laboratory and field personnel could adversely affect our business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depend on the skills, experience and performance of our senior management and research personnel. The efforts of each of these persons will be critical to us as we continue to further develop our products, increase sales and broaden our product offerings. If we were to lose one or more of these key employees, we may experience difficulties in competing effectively, developing our technologies and implementing our business strategies. Our research and development programs and commercial laboratory operations depend on our ability to attract and retain highly skilled scientists and technicians. We may not be able to attract or retain qualified scientists and technicians in the future due to the intense competition for qualified personnel among life science businesses. There can be no assurance that we will be able to attract and retain necessary personnel on acceptable terms given the intense competition among medical device, biotechnology, pharmaceutical and healthcare companies, universities and non-profit research institutions for experienced management, scientists, researchers, sales and marketing and manufacturing personnel. If we are unable to attract, retain and motivate our key personnel to accomplish our business objectives, we may experience constraints that will adversely affect our ability to support our operations, and our results of operations may be materially and adversely affected.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international business, and we are exposed to various global and local risks that could have a material adverse effect on our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operate globally and develop and market products in multiple countries. Consequently, we face complex legal and regulatory requirements in multiple jurisdictions, which may expose us to certain financial and other risks. In addition, we are subject to global events beyond our control, including war, public health crises, such as pandemics and epidemics, trade disputes and other international events. Any of these changes could have a material adverse effect on our reputation, business, financial condition or results of operations.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example, in the past we have been impacted by the COVID-19 pandemic which has caused interruptions or delays of our business plan. If there is a renewed outbreak of COVID-19 it may result in restrictions and safety measures that could cause fluctuations in sales of our products, ability to manufacture, as well as potential disruptions to our supply chain.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International sales and operations are subject to a variety of risks, including:</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staffing and managing foreign operations;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uncollectible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collection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logistical and communications challenges;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5" w:name="page56"/>
    <w:bookmarkEnd w:id="55"/>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changes in laws and regulatory practices, including export license requirements, trade barriers, tariffs and tax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labor conditions;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burdens and costs of compliance with a variety of foreign laws;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escalation of hostilities in Israel, which could impair our ability to manufacture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duties and taxation;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laws and potential increased costs associated with overlapping tax structures;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protecting intellectual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third party disputes over ownership of intellectual property and infringement of third party intellectual property by our products;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in these foreign markets.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markets are also affected by economic pressure to contain reimbursement levels and healthcare costs. Profitability from international operations may be limited by risks and uncertainties related to regional economic conditions, regulatory and reimbursement approvals, competing products, infrastructure development, intellectual property rights protection and our ability to implement our overall business strategy. We expect these risks will increase as we pursue our strategy to expand operations into new geographic markets. We may not succeed in developing and implementing effective policies and strategies in each location where we conduct business. Any failure to do so may harm our business, results of operations and financial condition.</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operating results and growth rates may be adversely affected by current or future unfavorable economic and market conditions and adverse developments with respect to financial institutions and associated liquidity risk.</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the economic health of the global economies. If the conditions in the global economies remain uncertain or continue to be volatile, or if they deteriorate, including as a result of the impact of military conflict, such as the security situation in Israel and Russia and Ukraine, terrorism or other geopolitical events, our business, operating results and financial condition may be materially adversely affected. Economic weakness, inflation and increases in interest rates, limited availability of credit, liquidity shortages and constrained capital spending have at times in the past resulted, and may in the future result, in challenging and delayed sales cycles, slower adoption of new technologies and increased price competition, and could negatively affect our ability to forecast future periods, which could result in an inability to satisfy demand for our products and a loss of market share.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increases in inflation raise our costs for commodities, labor, materials and services and other costs required to grow and operate our business, and failure to secure these on reasonable terms may adversely impact our financial condition. Additionally, increases in inflation, geopolitical developments and global supply chain disruptions, have caused, and may in the future cause, global economic uncertainty and uncertainty about the interest rate environment, which may make it more difficult, costly or dilutive for us to secure additional financing. A failure to adequately respond to these risks could have a material adverse impact on our financial condition, results of operations or cash flows.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current equity and credit markets deteriorate, or if adverse developments are experienced by financial institutions, it may cause short-term liquidity risk and also make any necessary debt or equity financing more difficult, more costly, more onerous with respect to financial and operating covenants and more dilutive. Failure to secure any necessary financing in a timely manner and on favorable terms could have a material adverse effect on our growth strategy, financial performance and stock price and could require us to alter our operating plans. In addition, there is a risk that one or more of our service providers, financial institutions, manufacturers, suppliers and other partners may be adversely affected by the foregoing risks, which could directly affect our ability to attain our operating goals on schedule and on budget.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financial reporting and other requirements that place significant demands on our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subject to reporting and other obligations under the Securities Exchange Act of 1934, as amended, including the requirements of Section 404 of the Sarbanes-Oxley Act of 2002. Section 404 requires us to conduct an annual management assessment of the effectiveness of our internal controls over financial reporting. These reporting and other obligations place significant demands on our management, administrative, operational, internal audit and accounting resources. Any failure to maintain effective internal controls could have a material adverse effect on our business, operating results and stock price. Moreover, effective internal control is necessary for us to provide reliable financial reports and prevent fraud. If we cannot provide reliable financial reports or prevent fraud, we may not be able to manage our business as effectively as we would if an effective control environment existed, and our business and reputation with investors may be harmed.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limitations in all control systems, and misstatements due to error or fraud may occur and not be detected.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ongoing internal control provisions of Section 404 of the Sarbanes-Oxley Act of 2002 require us to identify material weaknesses in internal control over financial reporting, which is a process to provide reasonable assurance regarding the reliability of financial reporting for external purposes in accordance with accounting principles generally accepted in the United States. Our management, including our chief executive officer and chief financial officer, does not expect that our internal controls and disclosure controls will prevent all errors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relative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errors or mistakes. Further, controls can be circumvented by individual acts of some persons, by collusion of two or more persons,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a control may be inadequate because of changes in conditions, such as growth of the company or increased transaction volume, or the degree of compliance with the policies or procedures may deteriorate. Because of inherent limitations in a cost-effective control system, misstatements due to error or fraud may occur and not be detected.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discovery and disclosure of a material weakness, by definition, could have a material adverse impact on our financial statements. Such an occurrence could discourage certain customers or suppliers from doing business with us and adversely affect how our stock trades. This could in turn negatively affect our ability to access equity markets for capital.</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Scrutiny of sustainability and environmental, social, and governance (“ESG”) initiatives could increase our costs or otherwise adversely impact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Public companies have recently faced scrutiny related to ESG practices and disclosures from certain investors, capital providers, shareholder advocacy groups, other market participants and other stakeholder groups. Such scrutiny may result in increased costs, enhanced compliance or disclosure obligations, or other adverse impacts on our business, financial condition or results of operations. If our ESG practices and reporting do not meet investor or other stakeholder expectations, we may be subject to investor or regulator engagement regarding such matters. Our failure to comply with any applicable ESG rules or regulations could lead to penalties and adversely impact our reputation, access to capital and employee retention. Such ESG matters may also impact our third-party contract manufacturers and other third parties on which we rely, which may augment or cause additional impacts on our business, financial condition, or results of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Risks Related to Operating in Israel</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anticipate being subject to fluctuations in currency exchange rates because we expect a substantial portion of our revenues will be generated in Euros and U.S. dollars, while a significant portion of our expenses will be incurred in New Israeli Shekels (“NIS”).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expect a substantial portion of our revenues will be generated in U.S. dollars and Euros, while a significant portion of our expenses, principally salaries and related personnel expenses, is paid in NIS. As a result, we are exposed to the risk that the rate of inflation in Israel will exceed the rate of devaluation of the NIS in relation to the Euro or the U.S. dollar, or that the timing of this devaluation will lag behind inflation in Israel. Because inflation has the effect of increasing the dollar and Euro costs of our operations, it would therefore have an adverse effect on our dollar-measured results of operations. The value of the NIS, against the Euro, the U.S. dollar, and other currencies may fluctuate and is affected by, among other things, changes in Israel’s political and economic conditions. Any significant revaluation of the NIS may materially and adversely affect our cash flows, revenues and financial condition. Fluctuations in the NIS exchange rate, or even the appearance of instability in such exchange rate, could adversely affect our ability to operate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there are significant shifts in the political, economic and military conditions in Israel and its neighbors, it could have a material adverse effect on our business relationships and profitability.</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current manufacturing facility, certain of our key personnel and one of our offices are located in Israel. Our business is directly affected by the political, economic and military conditions in Israel and its neighbors. Since the establishment of the State of Israel in 1948, a number of armed conflicts have occurred between Israel and its Arab neighbors.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October 2023, Hamas terrorists infiltrated Israel’s southern border from the Gaza Strip and conducted a series of attacks on civilian and military targets. Hamas also launched extensive rocket attacks on Israeli population and industrial centers located along Israel’s border with the Gaza Strip and in other areas within the State of Israel. These attacks resulted in extensive deaths, injuries and kidnapping of civilians and soldiers. Following the attack, Israel’s security cabinet declared war against Hamas and a military campaign against these terrorist organizations commenced in parallel to their continued rocket and terror attacks. On January 19, 2025, a temporary ceasefire went into effect, the result of which is uncertain.</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since the commencement of these events, there have been continued hostilities along Israel’s northern border with Lebanon (with the Hezbollah terror organization) and on other fronts from various extremist groups in region, such as the Houthis in Yemen and various rebel militia groups in Syria and Iraq. In October 2024, Israel began limited ground operations against Hezbollah in Lebanon, and in November 2024, a ceasefire was brokered between Israel and Hezbollah. In addition, Iran recently launched direct attacks on Israel involving hundreds of drones and missiles and has threatened to continue to attack Israel and is widely believed to be developing nuclear weapons. Iran is also believed to have a strong influence among extremist groups in the region, such as Hamas in Gaza, Hezbollah in Lebanon, the Houthi movement in Yemen and various rebel militia groups in Syria and Iraq. These situations may potentially escalate in the future to more violent events which may affect Israel and us. Additionally, Yemeni rebel group, the Houthis, launched series of attacks on global shipping routes in the Red Sea, causing disruptions of supply chain. Such clashes may escalate in the future into a greater regional conflict.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Israeli security cabinet’s declaration of war against Hamas and possible hostilities with other organizations, several hundred thousand Israeli military reservists were drafted to perform immediate military service, including five full time employees in Israel of ours. Although many of such military reservists have since been released, including all our employees, they may be called up for additional reserve duty, depending on developments in the war in Gaza and along Israel’s other borders. Military service call ups that result in absences of personnel from us for an extended period of time may materially and adversely affect our business, prospects, financial condition and results of operations. As of the date hereof, we currently have 67 full-time employees located in Israel.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8" w:name="page59"/>
    <w:bookmarkEnd w:id="58"/>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the war broke out on October 7, 2023, our operations have not been adversely affected by this situation, and we have not experienced disruptions to our clinical studies. None of the clinical sites currently participating in our clinical studies are located in Israel; however, we currently manufacture our CGuard at our facility in Tel Aviv, Israel. If there were a disruption to our existing manufacturing facility or our ability to procure raw materials and ship our products, we would have no other means of manufacturing and distributing CGuard until we were able to restore the manufacturing and distribution capability at our facility or develop alternative manufacturing facilities and distribution capabilities.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intensity and duration of Israel’s current war is difficult to predict at this stage, as are such war’s economic implications on the Company’s business and operations and on Israel’s economy in general. If the ceasefires declared collapse or a new war commences or hostilities expand to other fronts, our operations may be adversely affected.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commercial insurance does not cover losses that may occur as a result of events associated with war and terrorism. Although the Israeli government currently covers the reinstatement value of direct damages that are caused by terrorist attacks or acts of war,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results of operations.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political instability and hostilities between Israel and its neighbors and any future armed conflict, terrorist activity or political instability in the region could adversely affect our operations in Israel and adversely affect the market price of our shares of common stock. In addition, several organizations and countries may restrict doing business with Israel and Israeli companies have been and are today subjected to economic boycotts. The interruption or curtailment of trade between Israel and its present trading partners could adversely affect our business, financial condition and results of operations.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Finally, political conditions within Israel may affect our operations. Israel has held five general elections between 2019 and 2022, and prior to October 2023, the Israeli government pursued extensive changes to Israel’s judicial system, which sparked extensive political debate and unrest. Actual or perceived political instability in Israel or any negative changes in the political environment, may individually or in the aggregate adversely affect the Israeli economy and, in turn, our business, financial condition, results of operations and growth prospects.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Under applicable U.S. and Israeli law,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 which in turn could impact our future profitability.</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generally enter into non-competition agreements with our employees and certain key consultants, or our employment and consulting agreements contain non-competition provisions. These agreements, to the extent they are in place and in effect,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9" w:name="page60"/>
    <w:bookmarkEnd w:id="5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intellectual property has been developed by our Israeli employees in the course of their employment for us. Under the Israeli Patent Law, 5727-1967 (the “Israeli Patent Law”), inventions conceived by an employee during the term and as part of the scope of his or her employment with a company are regarded as “service inventions,” which belong to the employer, absent a specific agreement between the employee and employer giving the employee service invention rights. The Israeli Patent Law also provides that if there is no such agreement between an employer and an employee, the Israeli Compensation and Royalties Committee (the “C&amp;R Committee”), a body constituted under the Israeli Patent Law, shall determine whether the employee is entitled to remuneration for his inventions. The C&amp;R Committee (decisions of which have been upheld by the Israeli Supreme Court) has held that employees may be entitled to remuneration for their service inventions despite having specifically waived any such rights. We generally enter into intellectual property assignment agreements with our employees pursuant to which such employees assign to us all rights to any inventions created in the scope of their employment or engagement with us. Although our employees have agreed to assign to us service invention rights and have specifically waived their right to receive any special remuneration for such assignment beyond their regular salary and benefits, we may face claims demanding remuneration in consideration for assigned inventions. As a consequence of such claims, we could be required to pay additional remuneration or royalties to our current or former employees, or be forced to litigate such claims, which could negatively affect our business.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investors in the United States to enforce any judgments obtained against us or some of our directors or officers.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our assets other than cash are located outside the U.S. In addition, certain of our officers are nationals and/or residents of countries other than the U.S., and all or a substantial portion of such persons’ assets are located outside the U.S. As a result, it may be difficult for investors to enforce within the United States any judgments obtained against us or any of our non-U.S. officers, including judgments predicated upon the civil liability provisions of the securities laws of the U.S. or any state thereof. Additionally, it may be difficult to assert U.S. securities law claims in actions originally instituted outside of the U.S. Israeli courts may refuse to hear a U.S. securities law claim because Israeli courts may not be the most appropriate forums in which to bring such a claim. Even if an Israeli court agrees to hear a claim, it may determine that the Israeli law, and not U.S. law, is applicable to the claim. Further, if U.S. law is found to be applicable, certain content of applicable U.S. law must be proved as a fact, which can be a time-consuming and costly process, and certain matters of procedure would still be governed by the Israeli law. Consequently, you may be effectively prevented from pursuing remedies under U.S. federal and state securities laws against us or any of our non-U.S. directors or officers.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Preferred Stock and Warrants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prices of our common stock are subject to fluctuation and have been and may continue to be volatile, which could result in substantial losses for investors.</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market prices of our common stock have been and are likely to continue to be highly volatile and could fluctuate widely in response to various factors, many of which are beyond our control, including the following:</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new products and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that fall below expectations;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any strategic relationship;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developments;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external factors;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unrelated to the operating performance of particular companies. These market fluctuations may also significantly affect the market prices of our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0" w:name="page61"/>
    <w:bookmarkEnd w:id="6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delisted from the Nasdaq Capital Market if we fail to meet the Nasdaq Capital Market’s stockholders’ equity continued listing standards. Our ability to publicly or privately sell equity securities and the liquidity of our common stock could be adversely affected if we are delisted from the Nasdaq Capital Market.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we are therefore subject to its continued listing requirements, including requirements with respect to the market value of publicly-held shares, market value of listed shares, minimum bid price per share, and minimum stockholders’ equity, among others, and requirements relating to board and committee independence. If we fail to satisfy one or more of the requirements, we may be delisted from the Nasdaq Capital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Delisting from the Nasdaq Capital Market may adversely affect our ability to raise additional financing through the public or private sale of equity securities, may significantly affect the ability of investors to trade our securities and may negatively affect the value and liquidity of our common stock. Delisting also could have other negative results, including the potential loss of employee confidence, the loss of institutional investors or interest in business development opportunities.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our corporate charter and bylaws contain anti-takeover provisions that could delay or discourage takeover attempts that stockholders may consider favorable.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board of directors is authorized to issue shares of preferred stock in one or more series and to fix the voting powers, preferences and other rights and limitations of the preferred stock. Accordingly, we may issue shares of preferred stock with a preference over our common stock with respect to dividends or distributions on liquidation or dissolution, or that may otherwise adversely affect the voting or other rights of the holders of common stock. Issuances of preferred stock, depending upon the rights, preferences and designations of the preferred stock, may have the effect of delaying, deterring or preventing a change of control, even if that change of control might benefit our stockholders. In addition, we are subject to Section 203 of the Delaware General Corporation Law. Section 203 generally prohibits a public Delaware corporation from engaging in a “business combination” with an “interested stockholder” for a period of three years after the date of the transaction in which the person became an interested stockholder, unless (i) prior to the date of the transaction, the board of directors of the corporation approved either the business combination or the transaction which resulted in the stockholder becoming an interested stockholder; (ii) the interested stockholder owned at least 85% of the voting stock of the corporation outstanding at the time the transaction commenced, excluding for purposes of determining the number of shares outstanding (a) shares owned by persons who are directors and also officers and (b) shares owned by employee stock plans in which employee participants do not have the right to determine confidentially whether shares held subject to the plan will be tendered in a tender or exchange offer; or (iii) on or subsequent to the date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203 could delay or prohibit mergers or other takeover or change in control attempts with respect to us and, accordingly, may discourage attempts to acquire us even though such a transaction may offer our stockholders the opportunity to sell their stock at a price above the prevailing market price.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staggered board of directors, which could impede an attempt to acquire us or remove our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each of which serves for a staggered term of three years. This division of our board of directors could have the effect of impeding an attempt to take over our company or change or remove management, since only one class will be elected annually. Thus, only approximately one-third of the existing board of directors could be replaced at any election of directors.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1" w:name="page62"/>
    <w:bookmarkEnd w:id="6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former shell company, resales of shares of our restricted common stock in reliance on Rule 144 of the Securities Act are subject to the requirements of Rule 144(i).</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previously were a “shell company” and, as such, sales of our securities pursuant to Rule 144 under the Securities Act of 1933, as amended, cannot be made unless, among other things, at the time of a proposed sale, we are subject to the reporting requirements of Section 13 or 15(d) of the Securities Exchange Act of 1934, as amended, and have filed all reports and other materials required to be filed by Section 13 or 15(d) of the Securities Exchange Act of 1934 as amended, as applicable, during the preceding 12 months, other than Form 8-K reports. Because, as a former shell company, the reporting requirements of Rule 144(i) will apply regardless of holding period, restrictive legends on certificates for shares of our common stock cannot be removed except in connection with an actual sale that is subject to an effective registration statement under, or an applicable exemption from the registration requirements of, the Securities Act of 1933, as amended. Because our unregistered securities cannot be sold pursuant to Rule 144 unless we continue to meet such requirements, any unregistered securities we issue will have limited liquidity unless we continue to comply with such requirements.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 of the analysts who cover us downgrade our stock, or if our results of operations do not meet their expectations, our stock price could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Aspects of the tax treatment of the securities may be uncertain.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tax treatment of our preferred stock and our warrants is uncertain and may vary depending upon whether you are an individual or a legal entity and whether or not you are domiciled in the United States. In the event you are a non-U.S. investor, you should consult your tax advisors as to the consequences, under the tax laws of the country where you are resident for tax purposes, of acquiring, holding and disposing of our preferred stock and our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developed and maintain a cybersecurity risk management program that focuses primarily on securing and safeguarding computer systems, networks, cloud services, business applications, and data and that is integrated in our overall risk management strategy and framework. We have implemented protocols to protect against cyber threats and ensure the containment and security of sensitive business data, including ongoing security reviews of critical systems, continuous monitoring of event data, and employee training programs, which processes are aligned with our overall business and operational goals and strategies. Our risk assessment occurs on an ongoing basis and covers identification of risks that could act against the company’s objectives as well as specific risks related to a compromise to the security of data.</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engage a third-party to provide operational support for cybersecurity risks. This forms a critical part of our risk management strategy, facilitating effective management and mitigation of risks, and ensuring adherence to applicable regulatory and industry standards.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Overall, we believe that we have established a robust framework for confidentiality, integrity, and availability of information, adhering to relevant security standards, practices, and compliance requirements. In addition, we maintain insurance to help protect against risks associated with cybersecurity threats. As of the date of this report, we do not believe that any risks from cybersecurity threats have materially affected, or are reasonably likely to materially affect, us, including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“Item 1.A – Risk Factors – Risks Related to Our Business Operations – Our business and operations would suffer in the event of computer system failures, cyber-attacks or deficiencies in our cyber-security.” in this Form 10-K.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provides oversight of our cybersecurity program and helps guide our strategy for managing cybersecurity risks in the context of our overall risk management system. Our cybersecurity program is managed by our Executive Vice President of Finance and Regional Manager, our internal IT team and our external Chief Information Security Officer (“CISO”) whose is responsible for leading enterprise-wide cybersecurity strategy, protocols, framework, standards and processes. The Executive Vice President of Finance and Regional Manager reports to our board of directors, as well as our Chief Executive Officer and Chief Financial Officer and other members of senior management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October 2024, we established our global headquarters in Miami, Florida, where we lease approximately 10,782 square feet for general office space, with onsite shipping and receiving of products, in Suites 215 and 280 of the 6303 Waterford at Blue Lagoon building located at 6303 Waterford District Drive, Miami, Florida 33126. The lease rent commences on the date that the landlord delivers the entire premises to us with (i) the landlord’s completion of the construction of Suite 280 and (ii) the construction of Suite 215 being substantially complete (the “Commencement Date”). The lease has a term of 64 months from the Commencement Date (the “Term”), subject to a five-year extension in accordance with the terms of the lease. Pursuant to the lease, we paid the landlord a security deposit of $500,000. Provided that there are no events of default by us under the lease, the security deposit will be returned to us on an incremental basis throughout the Term. Pursuant to the lease, we have agreed to pay base rent of $22,911.75 per month during the first year of the Term, increasing on an incremental basis each subsequent year of the Term, as well as traditional lease expenses including, certain taxes, operating expenses and utilities.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continue to maintain premises in Tel Aviv, Israel, where we lease a 1,700 square meter office and manufacturing facility that has the capacity to manufacture and assemble 2,000 stents per month, based upon the production schedule of one shift per day. We believe that our current facility is sufficient to meet anticipated future demand by adding personnel to the current staff. Additionally, we can add a working shift to our current production schedule.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 There are currently no pending material legal proceedings, and we are currently not aware of any legal proceedings or claims against us or our property that we believe will have any significant effect on our business, financial position or operating results.</w:t>
      </w:r>
    </w:p>
    <w:p>
      <w:pPr>
        <w:spacing w:after="0" w:line="17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has been quoted on the Nasdaq Capital Market (“Nasdaq”) since May 21, 2021, under the symbol “NSPR.” The last reported sales price of our common stock on the Nasdaq on March 10, 2025, was $2.82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12, 2025, we had 293 stockholders of record of our common stock. This figure includes an indeterminate number of stockholders who hold their shares in “street name.”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past, we have not declared or paid cash dividends on our common stock. We do not intend to pay cash dividends in the future; rather, we intend to retain future earnings, if any, to fund the operation and expansion of our business and for general corporate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holders of Series C Preferred Stock are not entitled to receive any dividends, unless and until specifically declared by our board of directors. However, holders of our Series C Preferred Stock are entitled to receive dividends on shares of Series C Preferred Stock equal (on an as-if-converted-to-common-stock basis, and without giving effect for such purposes to the 4.99% or 9.99% beneficial ownership limitation, as applicable) to and in the same form as dividends actually paid on shares of the common stock when such dividends are specifically declared by our board of directors. We are not obligated to redeem or repurchase any shares of Series C Preferred Stock. Shares of Series C Preferred Stock are not otherwise entitled to any redemption rights, or mandatory sinking fund or analogous fund provision.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consolidated financial statements and related notes included elsewhere in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medical device company focusing on the development and commercialization of products for the treatment of carotid artery disease and other vascular disease, including our proprietary CGuard™ stent platform.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CGuard EPS combines MicroNet and a unique self-expandable nitinol stent in a single device for use in carotid artery revascularization. Our CGuard EPS originally received CE mark approval under the MDD in the EU in March 2013 and was fully launched in Europe in September 2015. Subsequently, we launched CGuard EPS in over 30 countries and on February 3, 2021, we executed a distribution agreement with Chinese partners for the purpose of expanding our presence in the Asian markets. In January 2024, we received CE mark recertification under the EU’s Medical Device Regulation regulatory framework. Currently, we are seeking strategic partners for a potential launch of CGuard EPS in Japan and other Asian countries.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8, 2020, we received approval from the FDA of our IDE, thereby allowing us to proceed with a pivotal study of our CGuard™ Carotid Stent System, C-GUARDIANS, for prevention of stroke in patients in the United States. C-GUARDIANS is a prospective, multicenter, single-arm, pivotal study to evaluate the safety and efficacy of the CGuard™ Carotid Stent System when used to treat symptomatic and asymptomatic carotid artery stenosis in patients undergoing CAS. The study, which completed enrollment in June 2023, enrolled 316 patients across 24 trial sites in the U.S. and Europe and from April 2023 included deployment of the CGuard stent using CGuard Prime, our next generation CAS stent platform.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4" w:name="page65"/>
    <w:bookmarkEnd w:id="64"/>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primary endpoint was a composite of: (1) incidence of major adverse events including Death (all-cause mortality), any Stroke, and Myocardial Infarction (DSMI) through 30-days post index procedure, or (2) ipsilateral stroke from day 31 to day 365 post-procedure. All events were adjudicated by an independent clinical events committee. The composite index was compared to a performance goal based on the observed rate of the two components of the primary endpoint from previous pivotal stent trials which are considered industry standard. The performance goal was considered met if the upper bound of the two-sided 95% confidence interval calculated from the observed primary endpoint rate is &lt; 11.6% and the p-value is less than 0.025.</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November 2023, we announced positive 30-day follow up results from the C-GUARDIANS trial in which stenting with the C-Guard Carotid Stent System in patients with carotid artery stenosis and at high risk for carotid endarterectomy had a DSMI rate of 0.95%, measured from the date of the procedure through 30 days follow-up post-procedure. In May 2024, we announced positive one-year follow up results from the C-GUARDIANS trial, with a rate of 30-day DSMI and ipsilateral stroke between 31 and 365 days of 1.95%</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These data were used tothat may support the PMA submission in September 2024 with a view to potential FDA approval of the CGuard Prime carotid stent system in the first half of 2025.</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October 2024, the FDA approved the Company’s IDE to initiate the CGUARDIANS II pivotal study of its CGuard Prime 80cm Carotid Stent System during transcarotid revascularization (TCAR) procedures.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continue to invest in current and future potential new indications, products and manufacturing enhancements for CGuard that are expected to reduce cost of goods and/or provide the best-in-class performing delivery systems, such as CGuard Prime. In furtherance of our strategy that focuses on establishing the CGuard Carotid Stent System as a viable alternative to vascular surgery, we are developing a new transcarotid artery revascularization (TCAR) delivery system, SwitchGuard NPS, for transcarotid access and neuro protection. In addition, we intend to explore new indications for CGuard to leverage the advantages of stent design and mesh protection, well suited in labels such as acute stroke with tandem lesions.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consider our current addressable market for our CGuard Carotid Stent System and SwitchGuard NPS to be both symptomatic and asymptomatic individuals with diagnosed high-grade carotid artery stenosis ) for whom intervention is preferable to medical (drug) therapy. This group includes not only carotid artery stenting patients but also individuals undergoing carotid endarterectomy, as the two approaches compete for the same patient population. Assuming full penetration of the intervention caseload by CGuard Carotid Stent System, we estimate that the addressable market for CGuard Carotid Stent System and SwitchGuard NPS is approximately $1.3 billion (source: Health Research International Personal Medical Systems, Inc. September 13, 2021 Results of Update Report on Global Carotid Stenting Procedures and Markets by Major Geography and Addressable Markets and internal estimates). According to this same report and internal estimates, assuming full penetration of treatment for all individuals diagnosed with high-grade carotid artery stenosis, we estimate the total available market for CGuard Carotid Stent System and SwitchGuard NPS to be approximately $9.3 billion, which may grow over time if expanded treatment options such as CGuard Carotid Stent System and SwitchGuard NPS lead to increased patient screening for carotid artery disease.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12, 2023, we entered into a securities purchase agreement (the “Purchase Agreement pursuant to which we agreed to sell and issue in a private placement (the “Private Placement Offering) an aggregate of 10,266,270 shares (the “Private Placement Shares”) of our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12,914,078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Pre-Funded Warrants will be immediately exercisable at an exercise price of $0.0001 per share and will not expire until exercised in full. The Warrants will be immediately exercisable upon issuance at an exercise price of $1.3827 per share, subject to adjustment as set forth therein. The Warrants have a term of the earlier of (i) five years from the date of issuance and (ii) (A) in the case of the Series H Warrants, 20 trading days following the Company’s public release of primary and secondary end points related to one year follow up study results from the Company’s C-GUARDIANS pivotal trial, (B) in the case of the Series I Warrants, 20 trading days following the Company’s announcement of receipt of Premarket Approval from the Food and Drug Administration (“FDA”) for the CGuard Prime Carotid Stent System (135 cm), (C) in the case of the Series J Warrants, 20 trading days following the Company’s announcement of receipt of FDA approval for the SwitchGuard and CGuard Prime 80 and (D) in the case on the Series K Warrants, 20 trading days following the end of the fourth fiscal quarter after the fiscal quarter in which the first commercial sales of the CGuard Carotid Stent System in the United States begins.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Warrants may be exercised on a cashless basis if there is no effective registration statement registering the shares underlying the Warrants. Under the terms of the Pre-Funded Warrants and Warrants, certain of the selling stockholders may not exercise the Pre-Funded Warrants or Warrants to the extent such exercise would cause such selling stockholder, together with its affiliates and attribution parties, to beneficially own a number of shares of common stock which would exceed 4.99% or 9.99% of our then outstanding common stock following such exercise, excluding for purposes of such determination common stock issuable upon exercise of the Pre-Funded Warrants or Warrants which have not been exercised. The Warrants may be exercised into pre-funded warrants if the selling stockholder is unable to exercise the Warrant due to the foregoing beneficial ownership limitation or at the selling shareholder’s election.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 The Series H warrants, each exercisable at $1.3827 per common share and $1.3826 per pre-funded warrant, were issued as part of the private placement financing that the Company consummated on May 15, 2023. In connection with the exercise of the Series H Warrants, we also paid LifeSci Capital LLC, a placement fee equal to 5.6% of the aggregate gross proceeds from such exercise, or approximately $1.0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prepared our consolidated financial statements in accordance with U.S. Generally Accepted Accounting Principles (“U.S. GAAP”). U.S. GAAP represents a comprehensive set of accounting and disclosure rules and requirements, and applying these rules and requirements requires management judgments and estimates including, in certain circumstances, choices between acceptable U.S. GAAP alternatives. The following is a discussion of our most critical accounting policies, judgments and uncertainties that are inherent in our application of U.S. GAAP.</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applicable to these consolidated financial statements, the most significant estimates and assumptions relate to the determination of the lease terms in operating leases.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Accounts payable and accruals - Other, and operating lease liabilities. ROU assets represent Company’s right to use an underlying asset for the lease term and lease liabilities represent obligation to make lease payments arising from the lease. Operating lease ROU assets and liabilities are recognized at the lease commencement date based on the present value of lease payments over the lease term. In determining the present value of lease payments, we use the incremental borrowing rate based on the information available at the lease commencement date as the rate implicit in the lease is not readily determinable. The determination of the incremental borrowing rate requires management judgment based on information available at lease commencement. The lease terms may include periods covered by options to extend the lease when it is reasonably certain that we will exercise such options, and periods covered by options to terminate the lease when it is reasonably certain that we will not exercise such options. Operating lease cost is recognized on a straight-line basis over the lease term. Lease agreements that include lease and non-lease components are accounted for as a single lease component. The Company elected the short-term lease recognition exemption for leases with a lease term of 12 months or less.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2024 compared to the twelve months ended December 31, 2023</w:t>
      </w:r>
    </w:p>
    <w:p>
      <w:pPr>
        <w:spacing w:after="0" w:line="227"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For the twelve months ended December 31, 2024, revenue increased by $804,000, or 13.0%, to $7,009,000, from $6,205,000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twelve months ended December 31, 2023. This increase was predominantly driven by growth in existing and new markets.</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regions, the increase in revenue was primarily attributable to a $772,000 increase in Europe, a $141,000 increase in Asia and a $14,000 increase in the Middle East. This growth was mainly due to growth in existing and new markets. This increase was offset by a $103,000 decline in clinical revenue in the U.S . mainly driven by the completion in June 2023 of the enrollment of patients in our CGuardians IDE clinical trial as well as a $20,000 decline in other markets.</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For the twelve months ended December 31, 2024, gross profit (revenue less cost of revenues) decreased by 16.7%, or $301,000,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$1,506,000, compared to a gross profit of $1,807,000 for the same period in 2023. This decrease in gross profit resulted from an increase in cost of goods sold of $1,105,000. This increase was primarily due to an $891,000 increase in material and labor costs, driven mainly from higher sales volume, and increased compensation expense for new and current employees. In addition, there were an additional $214,000 other cost of goods sold related expenses. The increase of cost of goods sold was offset by the increase in revenues of $804,000 as described above. Gross margin (gross profits as a percentage of revenue) decreased to 21.5% during the year ended December 31, 2024, from 29.1% during the year ended December 31, 2023, driven by the factors mentioned above.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For the twelve months ended December 31, 2024, research and development expenses increased by 70.8%,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$5,653,000, to $13,634,000, from $7,981,000 during the twelve months ended December 31, 2023. This increase resulted primarily from an increase in compensation expenses of $2,705,000, mainly due to an increase of share-based compensation-related expenses and due to hiring personnel in connection with our expansion plans in the United States, an increase of $1,379,000 of SwitchGuard NPS development and regulatory cost, $961,000 related to clinical trials for CGuardians II and CGuardians III, an increase of $914,000 related to CGuard Prime product preparation expenses for the anticipated U.S. commercial launch of CGuard Prime, an increase of $448,000 related to an early feasibility study of CGuard Prime for the treatment of acute stroke patients with tandem lesions, an increase of $239,000 related to the establishment of operations in the United States and an increase of $71,000 in miscellaneous expenses. These increases were offset by a decrease of $1,064,000 in expenses associated with the C-Guardians FDA Study as the one-year follow-up finalized in the second quarter of 2024 and the submission this quarter of the PMA application to the U.S. FDA.</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Selling and Marketing Expenses</w:t>
      </w:r>
      <w:r>
        <w:rPr>
          <w:rFonts w:ascii="Times New Roman" w:cs="Times New Roman" w:eastAsia="Times New Roman" w:hAnsi="Times New Roman"/>
          <w:sz w:val="18"/>
          <w:szCs w:val="18"/>
          <w:color w:val="auto"/>
        </w:rPr>
        <w:t>. For the twelve months ended December 31, 2024, selling and marketing expenses increased by 57.0%,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$2,204,000 to $6,069,000, from $3,865,000 during the twelve months ended December 31, 2023. This increase resulted primarily from an increase in compensation expenses of $1,870,000 as we build our commercial sales force in the United States in anticipation for FDA approval, an increase of $254,000 of promotional activities and an increase of $80,000 in miscellaneous expenses.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For the twelve months ended December 31, 2024, general and administrative expenses increased by 37.8%,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$4,202,000, to $15,306,000, from $11,104,000 during the twelve months ended December 31, 2023. The increase was primarily driven by a $3,113,000 increase in share-based compensation expenses, a $877,000 increase in salary expenses and related accruals (mainly due to expected severance payments accrued for following the CFO’s announced retirement, new hires for our Miami headquarters, and salary increases), and a $284,000 increase in employee headhunting fees. These increases were offset by a $72,000 decrease in miscellaneous expenses.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Financial Income, net</w:t>
      </w:r>
      <w:r>
        <w:rPr>
          <w:rFonts w:ascii="Times New Roman" w:cs="Times New Roman" w:eastAsia="Times New Roman" w:hAnsi="Times New Roman"/>
          <w:sz w:val="18"/>
          <w:szCs w:val="18"/>
          <w:color w:val="auto"/>
        </w:rPr>
        <w:t>. For the twelve months ended December 31, 2024, financial income increased by $265,000, to $1,557,000 from $1,292,000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twelve months ended December 31, 2023. The increase in financial income primarily resulted from a $293,000 increase in interest income from investment in marketable securities, money market funds and short-term bank deposits.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Tax Expenses</w:t>
      </w:r>
      <w:r>
        <w:rPr>
          <w:rFonts w:ascii="Times New Roman" w:cs="Times New Roman" w:eastAsia="Times New Roman" w:hAnsi="Times New Roman"/>
          <w:sz w:val="18"/>
          <w:szCs w:val="18"/>
          <w:color w:val="auto"/>
        </w:rPr>
        <w:t>. For the twelve months ended December 31, 2024, tax decreased by $6,000 compared to the twelve months ended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Our expenses for income taxes reflect primarily the tax liability due to potential tax exposure.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Net Loss</w:t>
      </w:r>
      <w:r>
        <w:rPr>
          <w:rFonts w:ascii="Times New Roman" w:cs="Times New Roman" w:eastAsia="Times New Roman" w:hAnsi="Times New Roman"/>
          <w:sz w:val="18"/>
          <w:szCs w:val="18"/>
          <w:color w:val="auto"/>
        </w:rPr>
        <w:t>. Our net loss increased by $12,089,000, or 60.7%, to $32,005,000 for the twelve months ended December 31, 2023, from $19,916,000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twelve months ended December 31, 2023. The increase in net loss resulted primarily from an increase of $12,059,000 in operating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had an accumulated deficit as of December 31, 2024, of $254 million, as well as a net loss of $32.0 million and negative operating cash flows. We expect to continue incurring losses and negative cash flows from operations until our product, CGuard EPS, reaches commercial profitability. As a result of these expected losses and negative cash flows from operations, along with our current cash position, we believe we do not have sufficient resources to fund operations for at least the next 12 months. Therefore, there is substantial doubt about our ability to continue as a going concern.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plans include continued commercialization of our products and raising capital through sale of additional equity securities, debt or capital inflows from strategic partnerships and exercise of warrants. There are no assurances, however, that we will be successful in obtaining the level of financing needed for our operations. If we are unsuccessful in commercializing our products or raising capital, we may need to reduce activities, curtail or cease operations.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2023, we closed a Private Placement Offering that resulted in aggregate gross proceeds of approximately $42.2 million, before deducting fees payable to the placement agent and other offering expenses payable by the Company. If the Warrants from the Private Placement Offering are exercised in cash in full this would result in an additional $71.4 million of gross proceeds. There can be no assurance that we will achieve any of the milestones set forth in the Warrants or that the Warrants will be exercised in cash in full.</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the announcement of the one year follow up study results from the Company’s C-GUARDIANS trial, Series H Warrants to purchase 12,914,086 shares of common stock were exercised in full into 292,996 of shares of common stock and pre-funded warrants to purchase 12,621,090 shares of common stock. The net proceeds to the Company from the exercise of the Series H Warrants were $16.9 million after deducting placement agent fees. The Series H warrants, each exercisable at $1.3827 per common share and $1.3826 per pre-funded warrant, were issued as part of the private placement financing that the Company consummated on May 15, 2023.</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May 2024, we entered into an Equity Distribution Agreement (the “Distribution Agreement”) with Piper Sandler &amp; Co., as sales agent (“Piper Sandler”), pursuant to which we may offer and sell from time to time, at our option, through or to Piper Sandler shares of our common stock having an aggregate offering price of up to $17 million (the “ATM Facility”). We will pay Piper Sandler a commission at a fixed rate of 3.0% of the aggregate gross proceeds from each sale of the shares under the Distribution Agreement. As of the date hereof, we sold 845,399 shares pursuant to the Distribution Agreement for aggregate gross proceeds of approximately $2,199,395.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Twelve months ended December 31, 2024 compared to the twelve months ended December 31, 2023</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At December 31, 2024, we had cash and cash equivalents of $18,916,000 and marketable securities of $15,721,000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$9,640,000 of cash and cash equivalents and $29,383,000 marketable securities as of December 31, 2023. We have historically met our cash needs through a combination of issuing new shares, borrowing activities and product sales. Our cash requirements are generally for research and development, marketing and sales activities, finance and administrative cost, capital expenditures and general working capital.</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twelve months ended December 31, 2024, net cash used in our operating activities increased by $5,492,000 to $21,868,000, from $16,376,000 during the same period in 2023. The primary reason for the increase in cash used in our operating activities was an increase of $4,409,000 in payments for third party related expenses and for professional services, an increase of $2,518,000 in salary and bonus payments from $9,495,000 in the twelve months ended December 31, 2023 to $12,013,000 during the same period in 2024, offset, in part, by an increase of $1,746,000 in payments received from customers to $7,216,000 during the twelve months ended December 31, 2024, from $5,470,000 during the same period in 2023 and an decrease of $311,000 in interest income received from marketable securities and money market funds.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our investing activities was $12,641,000 during the twelve months ended December 31, 2024, compared to cash used by our investing activities of $16,092,000 during the twelve months ended December 31, 2023. The primary reason for the increase in cash provided by our investing activities is proceeds from matured marketable securities, net of withdrawal of $43,200,000, offset by a decrease in withdrawal from short-term bank deposits, net of investment in short-term deposits, of $13,000,000, an increase in an investment in long- term lease deposits of $426,000 and an increase of $1,021,000 in payments made for purchase of property, plant and equipment during the twelve months ended December 31, 2024.</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twelve months December 31, 2024, was $18,452,000. The principal source of the cash provided by financing activities during the twelve months ended December 31, 2024 were the proceeds from exercise of warrants of $16,854,000 net of issuance costs and funds received from our ATM Facility that resulted in approximately $1,598,000 of aggregate net proceeds. Cash provided by financing activities for the twelve months ended December 31, 2023, was $37,534,000. The principal source of the cash provided by financing activities during the twelve months ended December 31, 2023, were the proceeds from the Private Placement Offering in May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lease payments represent our commitment for future rent made under non-cancelable lease for our offices in the U.S. and Israel. The total future payments for our operating lease obligation at December 31, 2024 were approximately $2,939,000. For additional details regarding our lease, see Note 7 to our consolidated financial statements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no off-balance sheet transactions, arrangements, obligations (including contingent obligations), or other relationships with unconsolidated entities or other persons that have, or may have, a material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future operating results will continue to be subject to quarterly variations based upon a wide variety of factors, including the cyclical nature of the ordering patterns of our distributors, timing of regulatory approvals, the implementation of various phases of our clinical trials and manufacturing efficiencies due to the learning curve of utilizing new materials and equipment. Our operating results could also be impacted by a weakening of the Euro and strengthening of the NIS, both against the U.S. dollar. Lastly, other economic conditions we cannot foresee may affect customer demand, such as individual country reimbursement policies pertaining to our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included as part of this Report (See Item 15):</w:t>
      </w:r>
    </w:p>
    <w:p>
      <w:pPr>
        <w:spacing w:after="0" w:line="225" w:lineRule="exact"/>
        <w:rPr>
          <w:sz w:val="20"/>
          <w:szCs w:val="20"/>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Report of Kesselman &amp; Kesselman,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name: Kesselman &amp; Kesselman C.P.A.s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PCAOB ID: 1309)</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Balance Sheets as of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Operations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Cash Flows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-542290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Conclusions Regarding Effectiveness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an evaluation of the effectiveness of our “disclosure controls and procedures”, as defined by Rules 13a-15(e) and 15d-15(e) of the Securities Exchange Act of 1934, as amended, as of December 31, 2024, the end of the period covered by this Annual Report on Form 10-K. The disclosure controls and procedures evaluation was done under the supervision and with the participation of management, including our chief executive officer and chief financial officer. There are inherent limitations to the effectiveness of any system of disclosure controls and procedures. Accordingly, even effective disclosure controls and procedures can only provide reasonable assurance of achieving their control objectives. Based upon this evaluation, our chief executive officer and chief financial officer have concluded that our disclosure controls and procedures were effective at the reasonable assurance level as of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Securities Exchange Act of 1934, as amended. Our internal control over financial reporting is designed to provide reasonable assurance regarding the reliability of financial reporting and the preparation of the consolidated financial statements for external reporting purposes in accordance with generally accepted accounting principles.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of internal control over financial reporting to future periods are subject to the risk that controls may become inadequate because of changes in conditions or that the degree of compliance with the policies or procedures may deteriorate over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Management, including our chief executive officer and our chief financial officer, assessed the effectiveness of our internal control over financial reporting as of December 31, 2024.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Based on its assessment and those criteria, management has concluded that we maintained effective internal control over financial reporting as of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fiscal quarter ended December 31, 2024, that have materially affected, or are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Insider Trading Plans and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notified us that they adopted, modified or terminated any Rule 10b5-1 trading arrangement or any non-Rule 10b5-1 trading arrangement as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have adopted a code of ethics and business conduct that applies to our officers, directors and employees, including our principal executive officer, principal financial officer and principal accounting officer, which is posted on our website at </w:t>
      </w:r>
      <w:r>
        <w:rPr>
          <w:rFonts w:ascii="Times New Roman" w:cs="Times New Roman" w:eastAsia="Times New Roman" w:hAnsi="Times New Roman"/>
          <w:sz w:val="18"/>
          <w:szCs w:val="18"/>
          <w:i w:val="1"/>
          <w:iCs w:val="1"/>
          <w:color w:val="auto"/>
        </w:rPr>
        <w:t>www.inspiremd.com</w:t>
      </w:r>
      <w:r>
        <w:rPr>
          <w:rFonts w:ascii="Times New Roman" w:cs="Times New Roman" w:eastAsia="Times New Roman" w:hAnsi="Times New Roman"/>
          <w:sz w:val="18"/>
          <w:szCs w:val="18"/>
          <w:color w:val="auto"/>
        </w:rPr>
        <w:t>. We intend to disclose future amendments to certain provisions of the code of ethics, or waivers of such provisions granted to executive officers and directors, on this website within four business days following the date of such amendment or waiver.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 statement of trading policies that governs the trading in our securities by our directors, officers and certain other covered persons, and which is reasonably designed to promote compliance with applicable insider trading laws, rules and regulations, and any listing standards applicable to the Company. A copy of the Insider Trading Policy is included as Exhibit 19.1 to this annual report. In addition, with regard to any trading in our own securities, it is our policy to comply with the federal securities laws and the applicable exchange listing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adopted an Executive Officer Clawback Policy (the “Clawback Policy”), in accordance with the Nasdaq listing standards and Exchange Act Rule 10D-1, which applies to our current and former executive officers. Under the Clawback Policy, we are required to recoup the amount of any Erroneously Awarded Compensation (as defined in the Clawback Policy) on a pre-tax basis within a specified lookback period in the event of any Accounting Restatement (as defined in the Clawback Policy), subject to limited impracticability exception.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remaining information required by this Item 10 will be included in our definitive Proxy Statement for the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for the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for the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for the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for the 2025 Annual Meeting of Stockholders and is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Documents filed as part of report:</w:t>
      </w:r>
    </w:p>
    <w:p>
      <w:pPr>
        <w:spacing w:after="0" w:line="225" w:lineRule="exact"/>
        <w:rPr>
          <w:sz w:val="20"/>
          <w:szCs w:val="20"/>
          <w:color w:val="auto"/>
        </w:rPr>
      </w:pPr>
    </w:p>
    <w:p>
      <w:pPr>
        <w:ind w:left="840" w:hanging="184"/>
        <w:spacing w:after="0"/>
        <w:tabs>
          <w:tab w:leader="none" w:pos="8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financial statements are included herein:</w:t>
      </w:r>
    </w:p>
    <w:p>
      <w:pPr>
        <w:spacing w:after="0" w:line="225" w:lineRule="exact"/>
        <w:rPr>
          <w:sz w:val="20"/>
          <w:szCs w:val="20"/>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Report of Kesselman &amp; Kesselman, Independent Registered Public Accounting Firm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(PCAOB name: Kesselman &amp; Kesselman C.P.A.s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PCAOB ID: 1309)</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Balance Sheets as of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Operations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Consolidated Statements of Cash Flows for the Years Ended December 31, 2024 and 2023</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Notes to Consolidated Financial Statements</w:t>
      </w:r>
    </w:p>
    <w:p>
      <w:pPr>
        <w:spacing w:after="0" w:line="206"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-1216660</wp:posOffset>
            </wp:positionV>
            <wp:extent cx="71323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ind w:left="840" w:hanging="184"/>
        <w:spacing w:after="0"/>
        <w:tabs>
          <w:tab w:leader="none" w:pos="8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See Index to Exhibits</w:t>
      </w:r>
    </w:p>
    <w:p>
      <w:pPr>
        <w:spacing w:after="0" w:line="221" w:lineRule="exact"/>
        <w:rPr>
          <w:sz w:val="20"/>
          <w:szCs w:val="20"/>
          <w:color w:val="auto"/>
        </w:rPr>
      </w:pPr>
    </w:p>
    <w:p>
      <w:pPr>
        <w:jc w:val="center"/>
        <w:ind w:right="890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100" w:type="dxa"/>
            <w:vAlign w:val="bottom"/>
            <w:gridSpan w:val="15"/>
          </w:tcPr>
          <w:p>
            <w:pPr>
              <w:ind w:left="8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2"/>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4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40" w:type="dxa"/>
            <w:vAlign w:val="bottom"/>
            <w:tcBorders>
              <w:bottom w:val="single" w:sz="8" w:color="auto"/>
            </w:tcBorders>
            <w:gridSpan w:val="1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4"/>
                <w:szCs w:val="14"/>
                <w:color w:val="auto"/>
              </w:rPr>
            </w:pPr>
          </w:p>
        </w:tc>
        <w:tc>
          <w:tcPr>
            <w:tcW w:w="10120" w:type="dxa"/>
            <w:vAlign w:val="bottom"/>
            <w:tcBorders>
              <w:bottom w:val="single" w:sz="8" w:color="0000EE"/>
            </w:tcBorders>
            <w:gridSpan w:val="17"/>
          </w:tcPr>
          <w:p>
            <w:pPr>
              <w:spacing w:after="0" w:line="169"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Amended and Restated Certificate of Incorporation (incorporated by reference to Exhibit 3.1 to Quarterly Report on Form 10-Q filed with</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Securities and Exchange Commission on November 9, 2015)</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120" w:type="dxa"/>
            <w:vAlign w:val="bottom"/>
            <w:gridSpan w:val="17"/>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Amended and Restated Bylaws (incorporated by reference to Exhibit 3.2 to Current Report on Form 8-K filed with the Securities and</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Exchange Commission on June 29, 2021).</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May 25, 2016)</w:t>
              </w:r>
            </w:hyperlink>
          </w:p>
        </w:tc>
        <w:tc>
          <w:tcPr>
            <w:tcW w:w="5640" w:type="dxa"/>
            <w:vAlign w:val="bottom"/>
            <w:gridSpan w:val="13"/>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9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the Current Report on Form 8-K filed on September 29, 2016)</w:t>
              </w:r>
            </w:hyperlink>
          </w:p>
        </w:tc>
        <w:tc>
          <w:tcPr>
            <w:tcW w:w="5200" w:type="dxa"/>
            <w:vAlign w:val="bottom"/>
            <w:gridSpan w:val="10"/>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Designation of Preferences, Rights and Limitations of Series C Convertible Preferred Stock (incorporated by reference to</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Exhibit 3.1 to the Current Report on Form 8-K filed on March 15, 2017)</w:t>
              </w:r>
            </w:hyperlink>
          </w:p>
        </w:tc>
        <w:tc>
          <w:tcPr>
            <w:tcW w:w="4920" w:type="dxa"/>
            <w:vAlign w:val="bottom"/>
            <w:gridSpan w:val="8"/>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Certificate of Amendment to Certificate of Designation of Preferences, Rights and Limitation of Series C Convertible Preferred Stock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(incorporated by reference to Exhibit 3.1 to the Current Report on Form 8-K filed on November 29,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Amendment to Certificate of Designation of Preferences, Rights and Limitation of Series B Convertible Preferred Stock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(incorporated by reference to Exhibit 3.1 to the Current Report on Form 8-K filed on December 12, 2017)</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Certificate of Amendment to Amended and Restated Certificate of Incorporation of InspireMD, Inc. (incorporated by reference to Exhibit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February 7, 2018)</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10120" w:type="dxa"/>
            <w:vAlign w:val="bottom"/>
            <w:gridSpan w:val="17"/>
          </w:tcPr>
          <w:p>
            <w:pPr>
              <w:spacing w:after="0"/>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Amendment to Certificate of Designation of Preferences, Rights and Limitation of Series D Convertible Preferred Stock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(incorporated by reference to Exhibit 3.1 to the Current Report on Form 8-K filed on March 1, 2018)</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Pr>
          <w:p>
            <w:pPr>
              <w:spacing w:after="0"/>
              <w:rPr>
                <w:sz w:val="24"/>
                <w:szCs w:val="24"/>
                <w:color w:val="auto"/>
              </w:rPr>
            </w:pPr>
          </w:p>
        </w:tc>
        <w:tc>
          <w:tcPr>
            <w:tcW w:w="10120" w:type="dxa"/>
            <w:vAlign w:val="bottom"/>
            <w:gridSpan w:val="17"/>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to Certificate of Designation of Preferences, Rights and Limitation of Series D Convertible Preferred Stock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(incorporated by reference to Exhibit 3.1 to the Current Report on Form 8-K filed on April 3, 2018)</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120" w:type="dxa"/>
            <w:vAlign w:val="bottom"/>
            <w:gridSpan w:val="17"/>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Certificate of Amendment to Amended and Restated Certificate of Incorporation of InspireMD, Inc., dated March 27, 2019 (incorporated by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reference to Exhibit 3.1 to the Current Report on Form 8-K filed on March 28, 2019)</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Certificate of Amendment to Amended and Restated Certificate of Incorporation of InspireMD, Inc., dated April 14, 2021 (incorporated by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reference to Exhibit 3.1 to Quarterly Report on Form 10-Q filed with the Securities and Exchange Commission on May 10, 2021)</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6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Common Stock Certificate (incorporated by reference to Exhibit 4.1 to Amendment No. 3 to Registration Statement on Form S-1</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filed with the Securities and Exchange Commission on March 5, 2013)</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91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Description of Securities (incorporated by reference to Exhibit 4.1 to the Annual Report on Form 10-K filed on March 5, 2024)</w:t>
              </w:r>
            </w:hyperlink>
          </w:p>
        </w:tc>
        <w:tc>
          <w:tcPr>
            <w:tcW w:w="960" w:type="dxa"/>
            <w:vAlign w:val="bottom"/>
            <w:gridSpan w:val="3"/>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Indemnity Agreement between InspireMD, Inc. and each of the directors and executive officers thereof (incorporated by reference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to Exhibit 10.22 to Amendment No. 1 to Registration Statement on Form S-1 filed with the Securities and Exchange Commission on August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2"/>
              </w:rPr>
            </w:pPr>
            <w:hyperlink r:id="rId98">
              <w:r>
                <w:rPr>
                  <w:rFonts w:ascii="Times New Roman" w:cs="Times New Roman" w:eastAsia="Times New Roman" w:hAnsi="Times New Roman"/>
                  <w:sz w:val="18"/>
                  <w:szCs w:val="18"/>
                  <w:color w:val="0000EE"/>
                  <w:w w:val="92"/>
                </w:rPr>
                <w:t>26, 2011)</w:t>
              </w:r>
            </w:hyperlink>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InspireMD, Inc. 2013 Long-Term Incentive Plan (incorporated by reference to Exhibit 10.1 to Current Report on Form 8-K filed with the</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Securities and Exchange Commission on December 20, 2013)</w:t>
              </w:r>
            </w:hyperlink>
          </w:p>
        </w:tc>
      </w:tr>
      <w:tr>
        <w:trPr>
          <w:trHeight w:val="20"/>
        </w:trPr>
        <w:tc>
          <w:tcPr>
            <w:tcW w:w="9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440" w:type="dxa"/>
            <w:vAlign w:val="bottom"/>
            <w:gridSpan w:val="3"/>
            <w:shd w:val="clear" w:color="auto" w:fill="0000EE"/>
          </w:tcPr>
          <w:p>
            <w:pPr>
              <w:spacing w:after="0" w:line="20" w:lineRule="exact"/>
              <w:rPr>
                <w:sz w:val="1"/>
                <w:szCs w:val="1"/>
                <w:color w:val="auto"/>
              </w:rPr>
            </w:pPr>
          </w:p>
        </w:tc>
        <w:tc>
          <w:tcPr>
            <w:tcW w:w="4880" w:type="dxa"/>
            <w:vAlign w:val="bottom"/>
            <w:gridSpan w:val="1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101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Amended and Restated Employment Agreement, dated May 5, 2014, by and between InspireMD, Inc. and Craig Shore (incorporated by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17"/>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10.2 to Quarterly Report on Form 10-Q filed with the Securities and Exchange Commission on May 7, 2014)</w:t>
              </w:r>
            </w:hyperlink>
          </w:p>
        </w:tc>
      </w:tr>
      <w:tr>
        <w:trPr>
          <w:trHeight w:val="453"/>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gridSpan w:val="5"/>
          </w:tcPr>
          <w:p>
            <w:pPr>
              <w:ind w:left="442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9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First Amendment to the InspireMD, Inc. Amended and Restated 2011 UMBRELLA Option Plan (incorporated by reference to Exhibit 10.3</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to Quarterly Report on Form 10-Q filed with the Securities and Exchange Commission on May 7, 2014)</w:t>
              </w:r>
            </w:hyperlink>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Incentive Stock Option Award Agreement under the InspireMD, Inc. 2013 Long-Term Incentive Plan (incorporated by reference to</w:t>
              </w:r>
            </w:hyperlink>
          </w:p>
        </w:tc>
      </w:tr>
      <w:tr>
        <w:trPr>
          <w:trHeight w:val="196"/>
        </w:trPr>
        <w:tc>
          <w:tcPr>
            <w:tcW w:w="1120" w:type="dxa"/>
            <w:vAlign w:val="bottom"/>
          </w:tcPr>
          <w:p>
            <w:pPr>
              <w:spacing w:after="0"/>
              <w:rPr>
                <w:sz w:val="17"/>
                <w:szCs w:val="17"/>
                <w:color w:val="auto"/>
              </w:rPr>
            </w:pPr>
          </w:p>
        </w:tc>
        <w:tc>
          <w:tcPr>
            <w:tcW w:w="87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Exhibit 99.2 to Registration Statement on Form S-8 filed with the Securities and Exchange Commission on June 5, 2014)</w:t>
              </w:r>
            </w:hyperlink>
          </w:p>
        </w:tc>
        <w:tc>
          <w:tcPr>
            <w:tcW w:w="1400" w:type="dxa"/>
            <w:vAlign w:val="bottom"/>
            <w:gridSpan w:val="6"/>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Nonqualified Stock Option Award Agreement under the InspireMD, Inc. 2013 Long-Term Incentive Plan (incorporated by</w:t>
              </w:r>
            </w:hyperlink>
          </w:p>
        </w:tc>
      </w:tr>
      <w:tr>
        <w:trPr>
          <w:trHeight w:val="196"/>
        </w:trPr>
        <w:tc>
          <w:tcPr>
            <w:tcW w:w="1120" w:type="dxa"/>
            <w:vAlign w:val="bottom"/>
          </w:tcPr>
          <w:p>
            <w:pPr>
              <w:spacing w:after="0"/>
              <w:rPr>
                <w:sz w:val="17"/>
                <w:szCs w:val="17"/>
                <w:color w:val="auto"/>
              </w:rPr>
            </w:pPr>
          </w:p>
        </w:tc>
        <w:tc>
          <w:tcPr>
            <w:tcW w:w="96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reference to Exhibit 99.3 to Registration Statement on Form S-8 filed with the Securities and Exchange Commission on June 5, 2014)</w:t>
              </w:r>
            </w:hyperlink>
          </w:p>
        </w:tc>
        <w:tc>
          <w:tcPr>
            <w:tcW w:w="500" w:type="dxa"/>
            <w:vAlign w:val="bottom"/>
            <w:gridSpan w:val="3"/>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Form of Restricted Stock Award Agreement under the InspireMD, Inc. 2013 Long-Term Incentive Plan (incorporated by reference to</w:t>
              </w:r>
            </w:hyperlink>
          </w:p>
        </w:tc>
      </w:tr>
      <w:tr>
        <w:trPr>
          <w:trHeight w:val="196"/>
        </w:trPr>
        <w:tc>
          <w:tcPr>
            <w:tcW w:w="1120" w:type="dxa"/>
            <w:vAlign w:val="bottom"/>
          </w:tcPr>
          <w:p>
            <w:pPr>
              <w:spacing w:after="0"/>
              <w:rPr>
                <w:sz w:val="17"/>
                <w:szCs w:val="17"/>
                <w:color w:val="auto"/>
              </w:rPr>
            </w:pPr>
          </w:p>
        </w:tc>
        <w:tc>
          <w:tcPr>
            <w:tcW w:w="8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Exhibit 99.4 to Registration Statement on Form S-8 filed with the Securities and Exchange Commission on June 5, 2014)</w:t>
              </w:r>
            </w:hyperlink>
          </w:p>
        </w:tc>
        <w:tc>
          <w:tcPr>
            <w:tcW w:w="1380" w:type="dxa"/>
            <w:vAlign w:val="bottom"/>
            <w:gridSpan w:val="5"/>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Restricted Stock Unit Award Agreement under the InspireMD, Inc. 2013 Long-Term Incentive Plan (incorporated by reference to</w:t>
              </w:r>
            </w:hyperlink>
          </w:p>
        </w:tc>
      </w:tr>
      <w:tr>
        <w:trPr>
          <w:trHeight w:val="196"/>
        </w:trPr>
        <w:tc>
          <w:tcPr>
            <w:tcW w:w="1120" w:type="dxa"/>
            <w:vAlign w:val="bottom"/>
          </w:tcPr>
          <w:p>
            <w:pPr>
              <w:spacing w:after="0"/>
              <w:rPr>
                <w:sz w:val="17"/>
                <w:szCs w:val="17"/>
                <w:color w:val="auto"/>
              </w:rPr>
            </w:pPr>
          </w:p>
        </w:tc>
        <w:tc>
          <w:tcPr>
            <w:tcW w:w="8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Exhibit 99.5 to Registration Statement on Form S-8 filed with the Securities and Exchange Commission on June 5, 2014)</w:t>
              </w:r>
            </w:hyperlink>
          </w:p>
        </w:tc>
        <w:tc>
          <w:tcPr>
            <w:tcW w:w="1380" w:type="dxa"/>
            <w:vAlign w:val="bottom"/>
            <w:gridSpan w:val="5"/>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Form of Section 3(i) Stock Option Award Agreement under the InspireMD, Inc. 2013 Long-Term Incentive Plan (Israeli) (incorporated by</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reference to Exhibit 99.6 to Registration Statement on Form S-8 filed with the Securities and Exchange Commission on June 5, 2014)</w:t>
              </w:r>
            </w:hyperlink>
          </w:p>
        </w:tc>
      </w:tr>
      <w:tr>
        <w:trPr>
          <w:trHeight w:val="20"/>
        </w:trPr>
        <w:tc>
          <w:tcPr>
            <w:tcW w:w="1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Form of Section 102 Capital Gain Stock Option Award Agreement under the InspireMD, Inc. 2013 Long-Term Incentive Plan (Israeli)</w:t>
              </w:r>
            </w:hyperlink>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(incorporated by reference to Exhibit 99.7 to Registration Statement on Form S-8 filed with the Securities and Exchange Commission on</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June 5, 2014)</w:t>
              </w:r>
            </w:hyperlink>
          </w:p>
        </w:tc>
      </w:tr>
      <w:tr>
        <w:trPr>
          <w:trHeight w:val="20"/>
        </w:trPr>
        <w:tc>
          <w:tcPr>
            <w:tcW w:w="1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Form of Section 102 Capital Gain Restricted Stock Award Agreement under the InspireMD, Inc. 2013 Long-Term Incentive Plan (Israeli)</w:t>
              </w:r>
            </w:hyperlink>
          </w:p>
        </w:tc>
      </w:tr>
      <w:tr>
        <w:trPr>
          <w:trHeight w:val="196"/>
        </w:trPr>
        <w:tc>
          <w:tcPr>
            <w:tcW w:w="1120" w:type="dxa"/>
            <w:vAlign w:val="bottom"/>
          </w:tcPr>
          <w:p>
            <w:pPr>
              <w:spacing w:after="0"/>
              <w:rPr>
                <w:sz w:val="17"/>
                <w:szCs w:val="17"/>
                <w:color w:val="auto"/>
              </w:rPr>
            </w:pPr>
          </w:p>
        </w:tc>
        <w:tc>
          <w:tcPr>
            <w:tcW w:w="10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(incorporated by reference to Exhibit 99.8 to Registration Statement on Form S-8 filed with the Securities and Exchange Commission on</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June 5, 2014)</w:t>
              </w:r>
            </w:hyperlink>
          </w:p>
        </w:tc>
      </w:tr>
      <w:tr>
        <w:trPr>
          <w:trHeight w:val="20"/>
        </w:trPr>
        <w:tc>
          <w:tcPr>
            <w:tcW w:w="112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120" w:type="dxa"/>
            <w:vAlign w:val="bottom"/>
            <w:gridSpan w:val="14"/>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Form of Stock Option Award Agreement under the InspireMD, Inc. 2013 Long-Term Incentive Plan (European) (incorporated by reference</w:t>
              </w:r>
            </w:hyperlink>
          </w:p>
        </w:tc>
      </w:tr>
      <w:tr>
        <w:trPr>
          <w:trHeight w:val="196"/>
        </w:trPr>
        <w:tc>
          <w:tcPr>
            <w:tcW w:w="1120" w:type="dxa"/>
            <w:vAlign w:val="bottom"/>
          </w:tcPr>
          <w:p>
            <w:pPr>
              <w:spacing w:after="0"/>
              <w:rPr>
                <w:sz w:val="17"/>
                <w:szCs w:val="17"/>
                <w:color w:val="auto"/>
              </w:rPr>
            </w:pPr>
          </w:p>
        </w:tc>
        <w:tc>
          <w:tcPr>
            <w:tcW w:w="89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to Exhibit 99.9 to Registration Statement on Form S-8 filed with the Securities and Exchange Commission on June 5, 2014)</w:t>
              </w:r>
            </w:hyperlink>
          </w:p>
        </w:tc>
        <w:tc>
          <w:tcPr>
            <w:tcW w:w="11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Form of Restricted Stock Award Agreement under the InspireMD, Inc. 2013 Long-Term Incentive Plan (European) (incorporated by</w:t>
              </w:r>
            </w:hyperlink>
          </w:p>
        </w:tc>
      </w:tr>
      <w:tr>
        <w:trPr>
          <w:trHeight w:val="196"/>
        </w:trPr>
        <w:tc>
          <w:tcPr>
            <w:tcW w:w="1120" w:type="dxa"/>
            <w:vAlign w:val="bottom"/>
          </w:tcPr>
          <w:p>
            <w:pPr>
              <w:spacing w:after="0"/>
              <w:rPr>
                <w:sz w:val="17"/>
                <w:szCs w:val="17"/>
                <w:color w:val="auto"/>
              </w:rPr>
            </w:pPr>
          </w:p>
        </w:tc>
        <w:tc>
          <w:tcPr>
            <w:tcW w:w="97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reference to Exhibit 99.10 to Registration Statement on Form S-8 filed with the Securities and Exchange Commission on June 5, 2014)</w:t>
              </w:r>
            </w:hyperlink>
          </w:p>
        </w:tc>
        <w:tc>
          <w:tcPr>
            <w:tcW w:w="400" w:type="dxa"/>
            <w:vAlign w:val="bottom"/>
            <w:gridSpan w:val="2"/>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Form of Stock Option Award Agreement outside the InspireMD, Inc. 2013 Long-Term Incentive Plan (incorporated by reference to Exhibit</w:t>
              </w:r>
            </w:hyperlink>
          </w:p>
        </w:tc>
      </w:tr>
      <w:tr>
        <w:trPr>
          <w:trHeight w:val="196"/>
        </w:trPr>
        <w:tc>
          <w:tcPr>
            <w:tcW w:w="1120" w:type="dxa"/>
            <w:vAlign w:val="bottom"/>
          </w:tcPr>
          <w:p>
            <w:pPr>
              <w:spacing w:after="0"/>
              <w:rPr>
                <w:sz w:val="17"/>
                <w:szCs w:val="17"/>
                <w:color w:val="auto"/>
              </w:rPr>
            </w:pPr>
          </w:p>
        </w:tc>
        <w:tc>
          <w:tcPr>
            <w:tcW w:w="82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99.</w:t>
              </w:r>
              <w:r>
                <w:rPr>
                  <w:rFonts w:ascii="Times New Roman" w:cs="Times New Roman" w:eastAsia="Times New Roman" w:hAnsi="Times New Roman"/>
                  <w:sz w:val="18"/>
                  <w:szCs w:val="18"/>
                  <w:u w:val="single" w:color="auto"/>
                  <w:color w:val="0000EE"/>
                  <w:w w:val="99"/>
                </w:rPr>
                <w:t>11</w:t>
              </w:r>
              <w:r>
                <w:rPr>
                  <w:rFonts w:ascii="Times New Roman" w:cs="Times New Roman" w:eastAsia="Times New Roman" w:hAnsi="Times New Roman"/>
                  <w:sz w:val="18"/>
                  <w:szCs w:val="18"/>
                  <w:color w:val="0000EE"/>
                  <w:w w:val="99"/>
                </w:rPr>
                <w:t xml:space="preserve"> to Registration Statement on Form S-8 filed with the Securities and Exchange Commission on June 5, 2014)</w:t>
              </w:r>
            </w:hyperlink>
          </w:p>
        </w:tc>
        <w:tc>
          <w:tcPr>
            <w:tcW w:w="1880" w:type="dxa"/>
            <w:vAlign w:val="bottom"/>
            <w:gridSpan w:val="7"/>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First Amendment to Amended and Restated Employment Agreement, dated January 5, 2015, by and between InspireMD, Inc. and Craig</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Shore (incorporated by reference to Exhibit 10.3 to Current Report on Form 8-K filed with the Securities and Exchange Commission on</w:t>
              </w:r>
            </w:hyperlink>
          </w:p>
        </w:tc>
      </w:tr>
      <w:tr>
        <w:trPr>
          <w:trHeight w:val="196"/>
        </w:trPr>
        <w:tc>
          <w:tcPr>
            <w:tcW w:w="1120" w:type="dxa"/>
            <w:vAlign w:val="bottom"/>
          </w:tcPr>
          <w:p>
            <w:pPr>
              <w:spacing w:after="0"/>
              <w:rPr>
                <w:sz w:val="17"/>
                <w:szCs w:val="17"/>
                <w:color w:val="auto"/>
              </w:rPr>
            </w:pPr>
          </w:p>
        </w:tc>
        <w:tc>
          <w:tcPr>
            <w:tcW w:w="12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12">
              <w:r>
                <w:rPr>
                  <w:rFonts w:ascii="Times New Roman" w:cs="Times New Roman" w:eastAsia="Times New Roman" w:hAnsi="Times New Roman"/>
                  <w:sz w:val="18"/>
                  <w:szCs w:val="18"/>
                  <w:color w:val="0000EE"/>
                  <w:w w:val="97"/>
                </w:rPr>
                <w:t>January 6, 2015)</w:t>
              </w:r>
            </w:hyperlink>
          </w:p>
        </w:tc>
        <w:tc>
          <w:tcPr>
            <w:tcW w:w="8900" w:type="dxa"/>
            <w:vAlign w:val="bottom"/>
            <w:tcBorders>
              <w:top w:val="single" w:sz="8" w:color="0000EE"/>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120" w:type="dxa"/>
            <w:vAlign w:val="bottom"/>
            <w:gridSpan w:val="14"/>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First Amendment to the InspireMD, Inc. 2013 Long-Term Incentive Plan (incorporated by reference to Exhibit 10.1 to the Current Report</w:t>
              </w:r>
            </w:hyperlink>
          </w:p>
        </w:tc>
      </w:tr>
      <w:tr>
        <w:trPr>
          <w:trHeight w:val="196"/>
        </w:trPr>
        <w:tc>
          <w:tcPr>
            <w:tcW w:w="11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13">
              <w:r>
                <w:rPr>
                  <w:rFonts w:ascii="Times New Roman" w:cs="Times New Roman" w:eastAsia="Times New Roman" w:hAnsi="Times New Roman"/>
                  <w:sz w:val="18"/>
                  <w:szCs w:val="18"/>
                  <w:color w:val="0000EE"/>
                  <w:w w:val="99"/>
                </w:rPr>
                <w:t>on Form 8-K filed on September 9, 2015)</w:t>
              </w:r>
            </w:hyperlink>
          </w:p>
        </w:tc>
        <w:tc>
          <w:tcPr>
            <w:tcW w:w="7100" w:type="dxa"/>
            <w:vAlign w:val="bottom"/>
            <w:tcBorders>
              <w:top w:val="single" w:sz="8" w:color="0000EE"/>
            </w:tcBorders>
            <w:gridSpan w:val="9"/>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Second Amendment to the InspireMD, Inc. 2013 Long-Term Incentive Plan (incorporated by reference to Exhibit 10.1 to the Current Report</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on Form 8-K filed on May 25, 2016)</w:t>
              </w:r>
            </w:hyperlink>
          </w:p>
        </w:tc>
      </w:tr>
      <w:tr>
        <w:trPr>
          <w:trHeight w:val="20"/>
        </w:trPr>
        <w:tc>
          <w:tcPr>
            <w:tcW w:w="1120" w:type="dxa"/>
            <w:vAlign w:val="bottom"/>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5520" w:type="dxa"/>
            <w:vAlign w:val="bottom"/>
            <w:gridSpan w:val="3"/>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Second Amendment to Amended and Restated Employment Agreement, dated July 25, 2016, by and between InspireMD, Inc. and Craig</w:t>
              </w:r>
            </w:hyperlink>
          </w:p>
        </w:tc>
      </w:tr>
      <w:tr>
        <w:trPr>
          <w:trHeight w:val="196"/>
        </w:trPr>
        <w:tc>
          <w:tcPr>
            <w:tcW w:w="1120" w:type="dxa"/>
            <w:vAlign w:val="bottom"/>
          </w:tcPr>
          <w:p>
            <w:pPr>
              <w:spacing w:after="0"/>
              <w:rPr>
                <w:sz w:val="17"/>
                <w:szCs w:val="17"/>
                <w:color w:val="auto"/>
              </w:rPr>
            </w:pPr>
          </w:p>
        </w:tc>
        <w:tc>
          <w:tcPr>
            <w:tcW w:w="10120" w:type="dxa"/>
            <w:vAlign w:val="bottom"/>
            <w:gridSpan w:val="1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Shore agent (incorporated by reference to Exhibit 10.1 to the Current Report on Form 8-K filed on July 29, 2016)</w:t>
              </w:r>
            </w:hyperlink>
          </w:p>
        </w:tc>
      </w:tr>
      <w:tr>
        <w:trPr>
          <w:trHeight w:val="480"/>
        </w:trPr>
        <w:tc>
          <w:tcPr>
            <w:tcW w:w="1120" w:type="dxa"/>
            <w:vAlign w:val="bottom"/>
            <w:tcBorders>
              <w:bottom w:val="single" w:sz="8" w:color="auto"/>
            </w:tcBorders>
          </w:tcPr>
          <w:p>
            <w:pPr>
              <w:spacing w:after="0"/>
              <w:rPr>
                <w:sz w:val="24"/>
                <w:szCs w:val="24"/>
                <w:color w:val="auto"/>
              </w:rPr>
            </w:pPr>
          </w:p>
        </w:tc>
        <w:tc>
          <w:tcPr>
            <w:tcW w:w="7480" w:type="dxa"/>
            <w:vAlign w:val="bottom"/>
            <w:tcBorders>
              <w:top w:val="single" w:sz="8" w:color="0000EE"/>
              <w:bottom w:val="single" w:sz="8" w:color="auto"/>
            </w:tcBorders>
            <w:gridSpan w:val="5"/>
          </w:tcPr>
          <w:p>
            <w:pPr>
              <w:ind w:left="4420"/>
              <w:spacing w:after="0"/>
              <w:rPr>
                <w:sz w:val="20"/>
                <w:szCs w:val="20"/>
                <w:color w:val="auto"/>
              </w:rPr>
            </w:pPr>
            <w:r>
              <w:rPr>
                <w:rFonts w:ascii="Times New Roman" w:cs="Times New Roman" w:eastAsia="Times New Roman" w:hAnsi="Times New Roman"/>
                <w:sz w:val="18"/>
                <w:szCs w:val="18"/>
                <w:color w:val="auto"/>
              </w:rPr>
              <w:t>73</w:t>
            </w:r>
          </w:p>
        </w:tc>
        <w:tc>
          <w:tcPr>
            <w:tcW w:w="6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75" w:right="33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Third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on Form 8-K filed on September 29, 2016)</w:t>
              </w:r>
            </w:hyperlink>
          </w:p>
        </w:tc>
      </w:tr>
      <w:tr>
        <w:trPr>
          <w:trHeight w:val="20"/>
        </w:trPr>
        <w:tc>
          <w:tcPr>
            <w:tcW w:w="110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Director Offer Letter, between InspireMD, Inc. and Thomas J. Kester, dated September 6, 2016</w:t>
              </w:r>
            </w:hyperlink>
          </w:p>
        </w:tc>
      </w:tr>
      <w:tr>
        <w:trPr>
          <w:trHeight w:val="20"/>
        </w:trPr>
        <w:tc>
          <w:tcPr>
            <w:tcW w:w="110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40" w:type="dxa"/>
            <w:vAlign w:val="bottom"/>
            <w:gridSpan w:val="13"/>
          </w:tcPr>
          <w:p>
            <w:pPr>
              <w:spacing w:after="0"/>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Fourth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on Form 8-K filed on October 26, 2018)</w:t>
              </w:r>
            </w:hyperlink>
          </w:p>
        </w:tc>
        <w:tc>
          <w:tcPr>
            <w:tcW w:w="722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Fifth Amendment to the InspireMD, Inc. 2013 Long-Term Incentive Plan (incorporated by reference to Exhibit 10.1 to the Current Report</w:t>
              </w:r>
            </w:hyperlink>
          </w:p>
        </w:tc>
      </w:tr>
      <w:tr>
        <w:trPr>
          <w:trHeight w:val="196"/>
        </w:trPr>
        <w:tc>
          <w:tcPr>
            <w:tcW w:w="1100" w:type="dxa"/>
            <w:vAlign w:val="bottom"/>
          </w:tcPr>
          <w:p>
            <w:pPr>
              <w:spacing w:after="0"/>
              <w:rPr>
                <w:sz w:val="17"/>
                <w:szCs w:val="17"/>
                <w:color w:val="auto"/>
              </w:rPr>
            </w:pPr>
          </w:p>
        </w:tc>
        <w:tc>
          <w:tcPr>
            <w:tcW w:w="28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on Form 8-K filed on March 21, 2019)</w:t>
              </w:r>
            </w:hyperlink>
          </w:p>
        </w:tc>
        <w:tc>
          <w:tcPr>
            <w:tcW w:w="7340" w:type="dxa"/>
            <w:vAlign w:val="bottom"/>
            <w:gridSpan w:val="12"/>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Third Amendment to Amended and Restated Employment Agreement, dated March 25, 2019, by and between InspireMD, Inc. and Craig</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Shore (incorporated by reference to Exhibit 10.1 to the Current Report on Form 8-K filed on March 28, 2019)</w:t>
              </w:r>
            </w:hyperlink>
          </w:p>
        </w:tc>
      </w:tr>
      <w:tr>
        <w:trPr>
          <w:trHeight w:val="20"/>
        </w:trPr>
        <w:tc>
          <w:tcPr>
            <w:tcW w:w="110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Employment Agreement, dated December 9, 2019, by and between the Company and Marvin Slosman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8-K filed on December 10, 2019).</w:t>
              </w:r>
            </w:hyperlink>
          </w:p>
        </w:tc>
      </w:tr>
      <w:tr>
        <w:trPr>
          <w:trHeight w:val="20"/>
        </w:trPr>
        <w:tc>
          <w:tcPr>
            <w:tcW w:w="110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60" w:type="dxa"/>
            <w:vAlign w:val="bottom"/>
            <w:gridSpan w:val="4"/>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First Amendment to Employment Agreement, dated December 31, 2019, by and between the Company and Marvin Slosman (incorporated</w:t>
              </w:r>
            </w:hyperlink>
          </w:p>
        </w:tc>
      </w:tr>
      <w:tr>
        <w:trPr>
          <w:trHeight w:val="196"/>
        </w:trPr>
        <w:tc>
          <w:tcPr>
            <w:tcW w:w="1100" w:type="dxa"/>
            <w:vAlign w:val="bottom"/>
          </w:tcPr>
          <w:p>
            <w:pPr>
              <w:spacing w:after="0"/>
              <w:rPr>
                <w:sz w:val="17"/>
                <w:szCs w:val="17"/>
                <w:color w:val="auto"/>
              </w:rPr>
            </w:pPr>
          </w:p>
        </w:tc>
        <w:tc>
          <w:tcPr>
            <w:tcW w:w="64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22">
              <w:r>
                <w:rPr>
                  <w:rFonts w:ascii="Times New Roman" w:cs="Times New Roman" w:eastAsia="Times New Roman" w:hAnsi="Times New Roman"/>
                  <w:sz w:val="18"/>
                  <w:szCs w:val="18"/>
                  <w:color w:val="0000EE"/>
                  <w:w w:val="99"/>
                </w:rPr>
                <w:t>by reference to Exhibit 10.2 to the Current Report on Form 8-K filed on January 6, 2020).</w:t>
              </w:r>
            </w:hyperlink>
          </w:p>
        </w:tc>
        <w:tc>
          <w:tcPr>
            <w:tcW w:w="3660" w:type="dxa"/>
            <w:vAlign w:val="bottom"/>
            <w:gridSpan w:val="4"/>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Nonqualified Stock Option Agreement, by and between the Company and Marvin Slosman (incorporated by reference to Exhibit 10.60 to</w:t>
              </w:r>
            </w:hyperlink>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the Annual Report on Form 10-K filed on March 10, 2020)</w:t>
              </w:r>
            </w:hyperlink>
          </w:p>
        </w:tc>
        <w:tc>
          <w:tcPr>
            <w:tcW w:w="588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Restricted Stock Unit Award agreement, by and between the Company and Marvin Slosman (incorporated by reference to Exhibit 10.61 to</w:t>
              </w:r>
            </w:hyperlink>
          </w:p>
        </w:tc>
      </w:tr>
      <w:tr>
        <w:trPr>
          <w:trHeight w:val="196"/>
        </w:trPr>
        <w:tc>
          <w:tcPr>
            <w:tcW w:w="1100" w:type="dxa"/>
            <w:vAlign w:val="bottom"/>
          </w:tcPr>
          <w:p>
            <w:pPr>
              <w:spacing w:after="0"/>
              <w:rPr>
                <w:sz w:val="17"/>
                <w:szCs w:val="17"/>
                <w:color w:val="auto"/>
              </w:rPr>
            </w:pPr>
          </w:p>
        </w:tc>
        <w:tc>
          <w:tcPr>
            <w:tcW w:w="4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24">
              <w:r>
                <w:rPr>
                  <w:rFonts w:ascii="Times New Roman" w:cs="Times New Roman" w:eastAsia="Times New Roman" w:hAnsi="Times New Roman"/>
                  <w:sz w:val="18"/>
                  <w:szCs w:val="18"/>
                  <w:color w:val="0000EE"/>
                  <w:w w:val="99"/>
                </w:rPr>
                <w:t>the Annual Report on Form 10-K filed on March 10, 2020)</w:t>
              </w:r>
            </w:hyperlink>
          </w:p>
        </w:tc>
        <w:tc>
          <w:tcPr>
            <w:tcW w:w="588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Form of Series F Warrant (incorporated by reference to Exhibit 4.5 to the Company’s Registration Statement on Form S-1, Amendment No.</w:t>
              </w:r>
            </w:hyperlink>
          </w:p>
        </w:tc>
      </w:tr>
      <w:tr>
        <w:trPr>
          <w:trHeight w:val="196"/>
        </w:trPr>
        <w:tc>
          <w:tcPr>
            <w:tcW w:w="1100" w:type="dxa"/>
            <w:vAlign w:val="bottom"/>
          </w:tcPr>
          <w:p>
            <w:pPr>
              <w:spacing w:after="0"/>
              <w:rPr>
                <w:sz w:val="17"/>
                <w:szCs w:val="17"/>
                <w:color w:val="auto"/>
              </w:rPr>
            </w:pPr>
          </w:p>
        </w:tc>
        <w:tc>
          <w:tcPr>
            <w:tcW w:w="44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1, filed with the SEC on June 1, 2020 (File No. 333-238247)).</w:t>
              </w:r>
            </w:hyperlink>
          </w:p>
        </w:tc>
        <w:tc>
          <w:tcPr>
            <w:tcW w:w="5660" w:type="dxa"/>
            <w:vAlign w:val="bottom"/>
            <w:gridSpan w:val="8"/>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Form of Underwriter Warrant (incorporated by reference to Exhibit 1.1 to the Company’s Registration Statement on Form S-1, Amendment</w:t>
              </w:r>
            </w:hyperlink>
          </w:p>
        </w:tc>
      </w:tr>
      <w:tr>
        <w:trPr>
          <w:trHeight w:val="196"/>
        </w:trPr>
        <w:tc>
          <w:tcPr>
            <w:tcW w:w="1100" w:type="dxa"/>
            <w:vAlign w:val="bottom"/>
          </w:tcPr>
          <w:p>
            <w:pPr>
              <w:spacing w:after="0"/>
              <w:rPr>
                <w:sz w:val="17"/>
                <w:szCs w:val="17"/>
                <w:color w:val="auto"/>
              </w:rPr>
            </w:pPr>
          </w:p>
        </w:tc>
        <w:tc>
          <w:tcPr>
            <w:tcW w:w="4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No. 1, filed with the SEC on June 1, 2020 (File No. 333-238247))</w:t>
              </w:r>
            </w:hyperlink>
          </w:p>
        </w:tc>
        <w:tc>
          <w:tcPr>
            <w:tcW w:w="5400" w:type="dxa"/>
            <w:vAlign w:val="bottom"/>
            <w:gridSpan w:val="7"/>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Form of Series G Warrant (incorporated by reference to Exhibit 4.5 to the Company’s Registration Statement on Form S-1, Amendment No.</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1, filed with the SEC on February 3, 2021 (File No. 333-238247))</w:t>
              </w:r>
            </w:hyperlink>
          </w:p>
        </w:tc>
      </w:tr>
      <w:tr>
        <w:trPr>
          <w:trHeight w:val="20"/>
        </w:trPr>
        <w:tc>
          <w:tcPr>
            <w:tcW w:w="1100" w:type="dxa"/>
            <w:vAlign w:val="bottom"/>
          </w:tcPr>
          <w:p>
            <w:pPr>
              <w:spacing w:after="0" w:line="20" w:lineRule="exact"/>
              <w:rPr>
                <w:sz w:val="1"/>
                <w:szCs w:val="1"/>
                <w:color w:val="auto"/>
              </w:rPr>
            </w:pPr>
          </w:p>
        </w:tc>
        <w:tc>
          <w:tcPr>
            <w:tcW w:w="4740" w:type="dxa"/>
            <w:vAlign w:val="bottom"/>
            <w:gridSpan w:val="6"/>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101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Form of Underwriter Warrant (incorporated by reference to Exhibit 4.6 to the Company’s Registration Statement on Form S-1, Amendment</w:t>
              </w:r>
            </w:hyperlink>
          </w:p>
        </w:tc>
      </w:tr>
      <w:tr>
        <w:trPr>
          <w:trHeight w:val="196"/>
        </w:trPr>
        <w:tc>
          <w:tcPr>
            <w:tcW w:w="1100" w:type="dxa"/>
            <w:vAlign w:val="bottom"/>
          </w:tcPr>
          <w:p>
            <w:pPr>
              <w:spacing w:after="0"/>
              <w:rPr>
                <w:sz w:val="17"/>
                <w:szCs w:val="17"/>
                <w:color w:val="auto"/>
              </w:rPr>
            </w:pPr>
          </w:p>
        </w:tc>
        <w:tc>
          <w:tcPr>
            <w:tcW w:w="10140" w:type="dxa"/>
            <w:vAlign w:val="bottom"/>
            <w:gridSpan w:val="13"/>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No. 1, filed with the SEC on February 3, 2021 (File No. 333-238247))</w:t>
              </w:r>
            </w:hyperlink>
          </w:p>
        </w:tc>
      </w:tr>
      <w:tr>
        <w:trPr>
          <w:trHeight w:val="480"/>
        </w:trPr>
        <w:tc>
          <w:tcPr>
            <w:tcW w:w="1100" w:type="dxa"/>
            <w:vAlign w:val="bottom"/>
            <w:tcBorders>
              <w:bottom w:val="single" w:sz="8" w:color="auto"/>
            </w:tcBorders>
          </w:tcPr>
          <w:p>
            <w:pPr>
              <w:spacing w:after="0"/>
              <w:rPr>
                <w:sz w:val="24"/>
                <w:szCs w:val="24"/>
                <w:color w:val="auto"/>
              </w:rPr>
            </w:pPr>
          </w:p>
        </w:tc>
        <w:tc>
          <w:tcPr>
            <w:tcW w:w="4740" w:type="dxa"/>
            <w:vAlign w:val="bottom"/>
            <w:tcBorders>
              <w:top w:val="single" w:sz="8" w:color="0000EE"/>
              <w:bottom w:val="single" w:sz="8" w:color="auto"/>
            </w:tcBorders>
            <w:gridSpan w:val="6"/>
          </w:tcPr>
          <w:p>
            <w:pPr>
              <w:ind w:left="4440"/>
              <w:spacing w:after="0"/>
              <w:rPr>
                <w:sz w:val="20"/>
                <w:szCs w:val="20"/>
                <w:color w:val="auto"/>
              </w:rPr>
            </w:pPr>
            <w:r>
              <w:rPr>
                <w:rFonts w:ascii="Times New Roman" w:cs="Times New Roman" w:eastAsia="Times New Roman" w:hAnsi="Times New Roman"/>
                <w:sz w:val="18"/>
                <w:szCs w:val="18"/>
                <w:color w:val="auto"/>
              </w:rPr>
              <w:t>74</w:t>
            </w:r>
          </w:p>
        </w:tc>
        <w:tc>
          <w:tcPr>
            <w:tcW w:w="3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75" w:name="page76"/>
    <w:bookmarkEnd w:id="75"/>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10.32+</w:t>
      </w:r>
      <w:r>
        <w:rPr>
          <w:sz w:val="20"/>
          <w:szCs w:val="20"/>
          <w:color w:val="auto"/>
        </w:rPr>
        <w:tab/>
      </w:r>
      <w:hyperlink r:id="rId129">
        <w:r>
          <w:rPr>
            <w:rFonts w:ascii="Times New Roman" w:cs="Times New Roman" w:eastAsia="Times New Roman" w:hAnsi="Times New Roman"/>
            <w:sz w:val="18"/>
            <w:szCs w:val="18"/>
            <w:u w:val="single" w:color="auto"/>
            <w:color w:val="0000EE"/>
          </w:rPr>
          <w:t>Sixth Amendment to the InspireMD, Inc. 2013 Long-Term Incentive Plan (incorporated by reference to Exhibit 10.1 to the Current Report</w:t>
        </w:r>
      </w:hyperlink>
      <w:r>
        <w:rPr>
          <w:rFonts w:ascii="Times New Roman" w:cs="Times New Roman" w:eastAsia="Times New Roman" w:hAnsi="Times New Roman"/>
          <w:sz w:val="18"/>
          <w:szCs w:val="18"/>
          <w:u w:val="single" w:color="auto"/>
          <w:color w:val="0000EE"/>
        </w:rPr>
        <w:t xml:space="preserve"> </w:t>
      </w:r>
      <w:hyperlink r:id="rId129">
        <w:r>
          <w:rPr>
            <w:rFonts w:ascii="Times New Roman" w:cs="Times New Roman" w:eastAsia="Times New Roman" w:hAnsi="Times New Roman"/>
            <w:sz w:val="18"/>
            <w:szCs w:val="18"/>
            <w:u w:val="single" w:color="auto"/>
            <w:color w:val="0000EE"/>
          </w:rPr>
          <w:t>on Form 8-K filed on August 31, 2020)</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10.33+</w:t>
      </w:r>
      <w:r>
        <w:rPr>
          <w:sz w:val="20"/>
          <w:szCs w:val="20"/>
          <w:color w:val="auto"/>
        </w:rPr>
        <w:tab/>
      </w:r>
      <w:hyperlink r:id="rId130">
        <w:r>
          <w:rPr>
            <w:rFonts w:ascii="Times New Roman" w:cs="Times New Roman" w:eastAsia="Times New Roman" w:hAnsi="Times New Roman"/>
            <w:sz w:val="18"/>
            <w:szCs w:val="18"/>
            <w:u w:val="single" w:color="auto"/>
            <w:color w:val="0000EE"/>
          </w:rPr>
          <w:t>Seventh Amendment to the InspireMD, Inc. 2013 Long-Term Incentive Plan (incorporated by reference to Exhibit 10.1 to the Quarterly</w:t>
        </w:r>
      </w:hyperlink>
      <w:r>
        <w:rPr>
          <w:rFonts w:ascii="Times New Roman" w:cs="Times New Roman" w:eastAsia="Times New Roman" w:hAnsi="Times New Roman"/>
          <w:sz w:val="18"/>
          <w:szCs w:val="18"/>
          <w:u w:val="single" w:color="auto"/>
          <w:color w:val="0000EE"/>
        </w:rPr>
        <w:t xml:space="preserve"> </w:t>
      </w:r>
      <w:hyperlink r:id="rId130">
        <w:r>
          <w:rPr>
            <w:rFonts w:ascii="Times New Roman" w:cs="Times New Roman" w:eastAsia="Times New Roman" w:hAnsi="Times New Roman"/>
            <w:sz w:val="18"/>
            <w:szCs w:val="18"/>
            <w:u w:val="single" w:color="auto"/>
            <w:color w:val="0000EE"/>
          </w:rPr>
          <w:t>Report on Form 10-Q filed on August 9, 2021)</w:t>
        </w:r>
      </w:hyperlink>
    </w:p>
    <w:p>
      <w:pPr>
        <w:spacing w:after="0" w:line="162" w:lineRule="exact"/>
        <w:rPr>
          <w:sz w:val="20"/>
          <w:szCs w:val="20"/>
          <w:color w:val="auto"/>
        </w:rPr>
      </w:pPr>
    </w:p>
    <w:p>
      <w:pPr>
        <w:ind w:left="1100" w:right="2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10.34+</w:t>
      </w:r>
      <w:r>
        <w:rPr>
          <w:sz w:val="20"/>
          <w:szCs w:val="20"/>
          <w:color w:val="auto"/>
        </w:rPr>
        <w:tab/>
      </w:r>
      <w:hyperlink r:id="rId131">
        <w:r>
          <w:rPr>
            <w:rFonts w:ascii="Times New Roman" w:cs="Times New Roman" w:eastAsia="Times New Roman" w:hAnsi="Times New Roman"/>
            <w:sz w:val="18"/>
            <w:szCs w:val="18"/>
            <w:u w:val="single" w:color="auto"/>
            <w:color w:val="0000EE"/>
          </w:rPr>
          <w:t>First Amendment to Employment Agreement, dated November 8, 2021, by and between InspireMD, Inc. and Marvin Slosman (incorporated</w:t>
        </w:r>
      </w:hyperlink>
      <w:r>
        <w:rPr>
          <w:rFonts w:ascii="Times New Roman" w:cs="Times New Roman" w:eastAsia="Times New Roman" w:hAnsi="Times New Roman"/>
          <w:sz w:val="18"/>
          <w:szCs w:val="18"/>
          <w:u w:val="single" w:color="auto"/>
          <w:color w:val="0000EE"/>
        </w:rPr>
        <w:t xml:space="preserve"> </w:t>
      </w:r>
      <w:hyperlink r:id="rId131">
        <w:r>
          <w:rPr>
            <w:rFonts w:ascii="Times New Roman" w:cs="Times New Roman" w:eastAsia="Times New Roman" w:hAnsi="Times New Roman"/>
            <w:sz w:val="18"/>
            <w:szCs w:val="18"/>
            <w:u w:val="single" w:color="auto"/>
            <w:color w:val="0000EE"/>
          </w:rPr>
          <w:t>by reference to Exhibit 10.1 to the Quarterly Report on Form 10-Q filed on November 8, 2021).</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10.35+</w:t>
      </w:r>
      <w:r>
        <w:rPr>
          <w:sz w:val="20"/>
          <w:szCs w:val="20"/>
          <w:color w:val="auto"/>
        </w:rPr>
        <w:tab/>
      </w:r>
      <w:hyperlink r:id="rId132">
        <w:r>
          <w:rPr>
            <w:rFonts w:ascii="Times New Roman" w:cs="Times New Roman" w:eastAsia="Times New Roman" w:hAnsi="Times New Roman"/>
            <w:sz w:val="18"/>
            <w:szCs w:val="18"/>
            <w:u w:val="single" w:color="auto"/>
            <w:color w:val="0000EE"/>
          </w:rPr>
          <w:t>Fifth Amendment to Employment Agreement, dated November 4, 2021, by and between InspireMD, Inc. and Craig Shore (incorporated by</w:t>
        </w:r>
      </w:hyperlink>
      <w:r>
        <w:rPr>
          <w:rFonts w:ascii="Times New Roman" w:cs="Times New Roman" w:eastAsia="Times New Roman" w:hAnsi="Times New Roman"/>
          <w:sz w:val="18"/>
          <w:szCs w:val="18"/>
          <w:u w:val="single" w:color="auto"/>
          <w:color w:val="0000EE"/>
        </w:rPr>
        <w:t xml:space="preserve"> </w:t>
      </w:r>
      <w:hyperlink r:id="rId132">
        <w:r>
          <w:rPr>
            <w:rFonts w:ascii="Times New Roman" w:cs="Times New Roman" w:eastAsia="Times New Roman" w:hAnsi="Times New Roman"/>
            <w:sz w:val="18"/>
            <w:szCs w:val="18"/>
            <w:u w:val="single" w:color="auto"/>
            <w:color w:val="0000EE"/>
          </w:rPr>
          <w:t>reference to Exhibit 10.2 to the Quarterly Report on Form 10-Q filed on November 8, 2021).</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10.36+</w:t>
      </w:r>
      <w:r>
        <w:rPr>
          <w:sz w:val="20"/>
          <w:szCs w:val="20"/>
          <w:color w:val="auto"/>
        </w:rPr>
        <w:tab/>
      </w:r>
      <w:hyperlink r:id="rId133">
        <w:r>
          <w:rPr>
            <w:rFonts w:ascii="Times New Roman" w:cs="Times New Roman" w:eastAsia="Times New Roman" w:hAnsi="Times New Roman"/>
            <w:sz w:val="18"/>
            <w:szCs w:val="18"/>
            <w:u w:val="single" w:color="auto"/>
            <w:color w:val="0000EE"/>
          </w:rPr>
          <w:t>Sixth Amendment to Employment Agreement, dated January 17, 2022, by and between InspireMD, Inc. and Craig Shore (incorporated by</w:t>
        </w:r>
      </w:hyperlink>
      <w:r>
        <w:rPr>
          <w:rFonts w:ascii="Times New Roman" w:cs="Times New Roman" w:eastAsia="Times New Roman" w:hAnsi="Times New Roman"/>
          <w:sz w:val="18"/>
          <w:szCs w:val="18"/>
          <w:u w:val="single" w:color="auto"/>
          <w:color w:val="0000EE"/>
        </w:rPr>
        <w:t xml:space="preserve"> </w:t>
      </w:r>
      <w:hyperlink r:id="rId133">
        <w:r>
          <w:rPr>
            <w:rFonts w:ascii="Times New Roman" w:cs="Times New Roman" w:eastAsia="Times New Roman" w:hAnsi="Times New Roman"/>
            <w:sz w:val="18"/>
            <w:szCs w:val="18"/>
            <w:u w:val="single" w:color="auto"/>
            <w:color w:val="0000EE"/>
          </w:rPr>
          <w:t>reference to Exhibit 10.51 to the Annual Report on Form 10-K filed on March 7, 2022)</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10.37+</w:t>
      </w:r>
      <w:r>
        <w:rPr>
          <w:sz w:val="20"/>
          <w:szCs w:val="20"/>
          <w:color w:val="auto"/>
        </w:rPr>
        <w:tab/>
      </w:r>
      <w:hyperlink r:id="rId134">
        <w:r>
          <w:rPr>
            <w:rFonts w:ascii="Times New Roman" w:cs="Times New Roman" w:eastAsia="Times New Roman" w:hAnsi="Times New Roman"/>
            <w:sz w:val="18"/>
            <w:szCs w:val="18"/>
            <w:u w:val="single" w:color="auto"/>
            <w:color w:val="0000EE"/>
          </w:rPr>
          <w:t>2021 Equity Compensation Plan (incorporated by reference to Annex A to the registrant’s Proxy Statement on Schedule 14A filed with the</w:t>
        </w:r>
      </w:hyperlink>
      <w:r>
        <w:rPr>
          <w:rFonts w:ascii="Times New Roman" w:cs="Times New Roman" w:eastAsia="Times New Roman" w:hAnsi="Times New Roman"/>
          <w:sz w:val="18"/>
          <w:szCs w:val="18"/>
          <w:u w:val="single" w:color="auto"/>
          <w:color w:val="0000EE"/>
        </w:rPr>
        <w:t xml:space="preserve"> </w:t>
      </w:r>
      <w:hyperlink r:id="rId134">
        <w:r>
          <w:rPr>
            <w:rFonts w:ascii="Times New Roman" w:cs="Times New Roman" w:eastAsia="Times New Roman" w:hAnsi="Times New Roman"/>
            <w:sz w:val="18"/>
            <w:szCs w:val="18"/>
            <w:u w:val="single" w:color="auto"/>
            <w:color w:val="0000EE"/>
          </w:rPr>
          <w:t>Commission on August 12, 2021).</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10.38+</w:t>
      </w:r>
      <w:r>
        <w:rPr>
          <w:sz w:val="20"/>
          <w:szCs w:val="20"/>
          <w:color w:val="auto"/>
        </w:rPr>
        <w:tab/>
      </w:r>
      <w:hyperlink r:id="rId135">
        <w:r>
          <w:rPr>
            <w:rFonts w:ascii="Times New Roman" w:cs="Times New Roman" w:eastAsia="Times New Roman" w:hAnsi="Times New Roman"/>
            <w:sz w:val="18"/>
            <w:szCs w:val="18"/>
            <w:u w:val="single" w:color="auto"/>
            <w:color w:val="0000EE"/>
          </w:rPr>
          <w:t>Form of Nonqualified Stock Option Agreement for U.S. employees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35">
        <w:r>
          <w:rPr>
            <w:rFonts w:ascii="Times New Roman" w:cs="Times New Roman" w:eastAsia="Times New Roman" w:hAnsi="Times New Roman"/>
            <w:sz w:val="18"/>
            <w:szCs w:val="18"/>
            <w:u w:val="single" w:color="auto"/>
            <w:color w:val="0000EE"/>
          </w:rPr>
          <w:t>Exhibit 10.53 to the Annual Report on Form 10-K filed on March 7, 2022)</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10.39+</w:t>
      </w:r>
      <w:r>
        <w:rPr>
          <w:sz w:val="20"/>
          <w:szCs w:val="20"/>
          <w:color w:val="auto"/>
        </w:rPr>
        <w:tab/>
      </w:r>
      <w:hyperlink r:id="rId136">
        <w:r>
          <w:rPr>
            <w:rFonts w:ascii="Times New Roman" w:cs="Times New Roman" w:eastAsia="Times New Roman" w:hAnsi="Times New Roman"/>
            <w:sz w:val="18"/>
            <w:szCs w:val="18"/>
            <w:u w:val="single" w:color="auto"/>
            <w:color w:val="0000EE"/>
          </w:rPr>
          <w:t>Form of Nonqualified Stock Option Agreement for European employees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36">
        <w:r>
          <w:rPr>
            <w:rFonts w:ascii="Times New Roman" w:cs="Times New Roman" w:eastAsia="Times New Roman" w:hAnsi="Times New Roman"/>
            <w:sz w:val="18"/>
            <w:szCs w:val="18"/>
            <w:u w:val="single" w:color="auto"/>
            <w:color w:val="0000EE"/>
          </w:rPr>
          <w:t>Exhibit 10.54 to the Annual Report on Form 10-K filed on March 7, 2022)</w:t>
        </w:r>
      </w:hyperlink>
    </w:p>
    <w:p>
      <w:pPr>
        <w:spacing w:after="0" w:line="162" w:lineRule="exact"/>
        <w:rPr>
          <w:sz w:val="20"/>
          <w:szCs w:val="20"/>
          <w:color w:val="auto"/>
        </w:rPr>
      </w:pPr>
    </w:p>
    <w:p>
      <w:pPr>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10.40+</w:t>
      </w:r>
      <w:r>
        <w:rPr>
          <w:sz w:val="20"/>
          <w:szCs w:val="20"/>
          <w:color w:val="auto"/>
        </w:rPr>
        <w:tab/>
      </w:r>
      <w:hyperlink r:id="rId137">
        <w:r>
          <w:rPr>
            <w:rFonts w:ascii="Times New Roman" w:cs="Times New Roman" w:eastAsia="Times New Roman" w:hAnsi="Times New Roman"/>
            <w:sz w:val="18"/>
            <w:szCs w:val="18"/>
            <w:u w:val="single" w:color="auto"/>
            <w:color w:val="0000EE"/>
          </w:rPr>
          <w:t>Form of Nonqualified Stock Option Agreement for consultants under the 2021 Equity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37">
        <w:r>
          <w:rPr>
            <w:rFonts w:ascii="Times New Roman" w:cs="Times New Roman" w:eastAsia="Times New Roman" w:hAnsi="Times New Roman"/>
            <w:sz w:val="18"/>
            <w:szCs w:val="18"/>
            <w:u w:val="single" w:color="auto"/>
            <w:color w:val="0000EE"/>
          </w:rPr>
          <w:t>10.55 to the Annual Report on Form 10-K filed on March 7, 2022)</w:t>
        </w:r>
      </w:hyperlink>
    </w:p>
    <w:p>
      <w:pPr>
        <w:spacing w:after="0" w:line="207"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10.41+</w:t>
      </w:r>
      <w:r>
        <w:rPr>
          <w:sz w:val="20"/>
          <w:szCs w:val="20"/>
          <w:color w:val="auto"/>
        </w:rPr>
        <w:tab/>
      </w:r>
      <w:hyperlink r:id="rId138">
        <w:r>
          <w:rPr>
            <w:rFonts w:ascii="Times New Roman" w:cs="Times New Roman" w:eastAsia="Times New Roman" w:hAnsi="Times New Roman"/>
            <w:sz w:val="18"/>
            <w:szCs w:val="18"/>
            <w:u w:val="single" w:color="auto"/>
            <w:color w:val="0000EE"/>
          </w:rPr>
          <w:t>Form of Nonqualified Stock Option Agreement for Israeli employees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38">
        <w:r>
          <w:rPr>
            <w:rFonts w:ascii="Times New Roman" w:cs="Times New Roman" w:eastAsia="Times New Roman" w:hAnsi="Times New Roman"/>
            <w:sz w:val="18"/>
            <w:szCs w:val="18"/>
            <w:u w:val="single" w:color="auto"/>
            <w:color w:val="0000EE"/>
          </w:rPr>
          <w:t>Exhibit 10.56 to the Annual Report on Form 10-K filed on March 7, 2022)</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10.42+</w:t>
      </w:r>
      <w:r>
        <w:rPr>
          <w:sz w:val="20"/>
          <w:szCs w:val="20"/>
          <w:color w:val="auto"/>
        </w:rPr>
        <w:tab/>
      </w:r>
      <w:hyperlink r:id="rId139">
        <w:r>
          <w:rPr>
            <w:rFonts w:ascii="Times New Roman" w:cs="Times New Roman" w:eastAsia="Times New Roman" w:hAnsi="Times New Roman"/>
            <w:sz w:val="18"/>
            <w:szCs w:val="18"/>
            <w:u w:val="single" w:color="auto"/>
            <w:color w:val="0000EE"/>
          </w:rPr>
          <w:t>Form of Nonqualified Stock Option Agreement for U.S. directors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39">
        <w:r>
          <w:rPr>
            <w:rFonts w:ascii="Times New Roman" w:cs="Times New Roman" w:eastAsia="Times New Roman" w:hAnsi="Times New Roman"/>
            <w:sz w:val="18"/>
            <w:szCs w:val="18"/>
            <w:u w:val="single" w:color="auto"/>
            <w:color w:val="0000EE"/>
          </w:rPr>
          <w:t>Exhibit 10.57 to the Annual Report on Form 10-K filed on March 7, 2022)</w:t>
        </w:r>
      </w:hyperlink>
    </w:p>
    <w:p>
      <w:pPr>
        <w:spacing w:after="0" w:line="162" w:lineRule="exact"/>
        <w:rPr>
          <w:sz w:val="20"/>
          <w:szCs w:val="20"/>
          <w:color w:val="auto"/>
        </w:rPr>
      </w:pPr>
    </w:p>
    <w:p>
      <w:pPr>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10.43+</w:t>
      </w:r>
      <w:r>
        <w:rPr>
          <w:sz w:val="20"/>
          <w:szCs w:val="20"/>
          <w:color w:val="auto"/>
        </w:rPr>
        <w:tab/>
      </w:r>
      <w:hyperlink r:id="rId140">
        <w:r>
          <w:rPr>
            <w:rFonts w:ascii="Times New Roman" w:cs="Times New Roman" w:eastAsia="Times New Roman" w:hAnsi="Times New Roman"/>
            <w:sz w:val="18"/>
            <w:szCs w:val="18"/>
            <w:u w:val="single" w:color="auto"/>
            <w:color w:val="0000EE"/>
          </w:rPr>
          <w:t>Form of Restricted Stock Award Agreement for U.S. employees under the 2021 Equity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40">
        <w:r>
          <w:rPr>
            <w:rFonts w:ascii="Times New Roman" w:cs="Times New Roman" w:eastAsia="Times New Roman" w:hAnsi="Times New Roman"/>
            <w:sz w:val="18"/>
            <w:szCs w:val="18"/>
            <w:u w:val="single" w:color="auto"/>
            <w:color w:val="0000EE"/>
          </w:rPr>
          <w:t>10.58 to the Annual Report on Form 10-K filed on March 7, 2022)</w:t>
        </w:r>
      </w:hyperlink>
    </w:p>
    <w:p>
      <w:pPr>
        <w:spacing w:after="0" w:line="207" w:lineRule="exact"/>
        <w:rPr>
          <w:sz w:val="20"/>
          <w:szCs w:val="20"/>
          <w:color w:val="auto"/>
        </w:rPr>
      </w:pPr>
    </w:p>
    <w:p>
      <w:pPr>
        <w:spacing w:after="0"/>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10.44+</w:t>
      </w:r>
      <w:r>
        <w:rPr>
          <w:sz w:val="20"/>
          <w:szCs w:val="20"/>
          <w:color w:val="auto"/>
        </w:rPr>
        <w:tab/>
      </w:r>
      <w:hyperlink r:id="rId141">
        <w:r>
          <w:rPr>
            <w:rFonts w:ascii="Times New Roman" w:cs="Times New Roman" w:eastAsia="Times New Roman" w:hAnsi="Times New Roman"/>
            <w:sz w:val="18"/>
            <w:szCs w:val="18"/>
            <w:u w:val="single" w:color="auto"/>
            <w:color w:val="0000EE"/>
          </w:rPr>
          <w:t>Form of Restricted Stock Award Agreement for U.S. directors under the 2021 Equity Incentive Plan (incorporated by reference to Exhibit</w:t>
        </w:r>
      </w:hyperlink>
    </w:p>
    <w:p>
      <w:pPr>
        <w:spacing w:after="0" w:line="27" w:lineRule="exact"/>
        <w:rPr>
          <w:sz w:val="20"/>
          <w:szCs w:val="20"/>
          <w:color w:val="auto"/>
        </w:rPr>
      </w:pPr>
    </w:p>
    <w:p>
      <w:pPr>
        <w:ind w:left="1100"/>
        <w:spacing w:after="0"/>
        <w:rPr>
          <w:rFonts w:ascii="Times New Roman" w:cs="Times New Roman" w:eastAsia="Times New Roman" w:hAnsi="Times New Roman"/>
          <w:sz w:val="18"/>
          <w:szCs w:val="18"/>
          <w:u w:val="single" w:color="auto"/>
          <w:color w:val="0000EE"/>
        </w:rPr>
      </w:pPr>
      <w:hyperlink r:id="rId141">
        <w:r>
          <w:rPr>
            <w:rFonts w:ascii="Times New Roman" w:cs="Times New Roman" w:eastAsia="Times New Roman" w:hAnsi="Times New Roman"/>
            <w:sz w:val="18"/>
            <w:szCs w:val="18"/>
            <w:u w:val="single" w:color="auto"/>
            <w:color w:val="0000EE"/>
          </w:rPr>
          <w:t>10.59 to the Annual Report on Form 10-K filed on March 7, 2022)</w:t>
        </w:r>
      </w:hyperlink>
    </w:p>
    <w:p>
      <w:pPr>
        <w:spacing w:after="0" w:line="207"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10.45+</w:t>
      </w:r>
      <w:r>
        <w:rPr>
          <w:sz w:val="20"/>
          <w:szCs w:val="20"/>
          <w:color w:val="auto"/>
        </w:rPr>
        <w:tab/>
      </w:r>
      <w:hyperlink r:id="rId142">
        <w:r>
          <w:rPr>
            <w:rFonts w:ascii="Times New Roman" w:cs="Times New Roman" w:eastAsia="Times New Roman" w:hAnsi="Times New Roman"/>
            <w:sz w:val="18"/>
            <w:szCs w:val="18"/>
            <w:u w:val="single" w:color="auto"/>
            <w:color w:val="0000EE"/>
          </w:rPr>
          <w:t>Form of Restricted Stock Award Agreement for Israeli employees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42">
        <w:r>
          <w:rPr>
            <w:rFonts w:ascii="Times New Roman" w:cs="Times New Roman" w:eastAsia="Times New Roman" w:hAnsi="Times New Roman"/>
            <w:sz w:val="18"/>
            <w:szCs w:val="18"/>
            <w:u w:val="single" w:color="auto"/>
            <w:color w:val="0000EE"/>
          </w:rPr>
          <w:t>Exhibit 10.60 to the Annual Report on Form 10-K filed on March 7, 2022)</w:t>
        </w:r>
      </w:hyperlink>
    </w:p>
    <w:p>
      <w:pPr>
        <w:spacing w:after="0" w:line="162" w:lineRule="exact"/>
        <w:rPr>
          <w:sz w:val="20"/>
          <w:szCs w:val="20"/>
          <w:color w:val="auto"/>
        </w:rPr>
      </w:pPr>
    </w:p>
    <w:p>
      <w:pPr>
        <w:ind w:left="1100" w:hanging="1092"/>
        <w:spacing w:after="0" w:line="282" w:lineRule="auto"/>
        <w:tabs>
          <w:tab w:leader="none" w:pos="10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10.46+</w:t>
      </w:r>
      <w:r>
        <w:rPr>
          <w:sz w:val="20"/>
          <w:szCs w:val="20"/>
          <w:color w:val="auto"/>
        </w:rPr>
        <w:tab/>
      </w:r>
      <w:hyperlink r:id="rId143">
        <w:r>
          <w:rPr>
            <w:rFonts w:ascii="Times New Roman" w:cs="Times New Roman" w:eastAsia="Times New Roman" w:hAnsi="Times New Roman"/>
            <w:sz w:val="18"/>
            <w:szCs w:val="18"/>
            <w:u w:val="single" w:color="auto"/>
            <w:color w:val="0000EE"/>
          </w:rPr>
          <w:t>Form of Restricted Stock Award Agreement for European employees under the 2021 Equity Incentive Plan (incorporated by reference to</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Exhibit 10.61 to the Annual Report on Form 10-K filed on March 7, 2022)</w:t>
        </w:r>
      </w:hyperlink>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Form of Restricted Stock Unit Award Agreement under the 2021 Equity Incentive Plan (incorporated by reference to Exhibit 10.62 to the</w:t>
              </w:r>
            </w:hyperlink>
          </w:p>
        </w:tc>
      </w:tr>
      <w:tr>
        <w:trPr>
          <w:trHeight w:val="196"/>
        </w:trPr>
        <w:tc>
          <w:tcPr>
            <w:tcW w:w="1100" w:type="dxa"/>
            <w:vAlign w:val="bottom"/>
          </w:tcPr>
          <w:p>
            <w:pPr>
              <w:spacing w:after="0"/>
              <w:rPr>
                <w:sz w:val="17"/>
                <w:szCs w:val="17"/>
                <w:color w:val="auto"/>
              </w:rPr>
            </w:pPr>
          </w:p>
        </w:tc>
        <w:tc>
          <w:tcPr>
            <w:tcW w:w="3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Annual Report on Form 10-K filed on March 7, 2022)</w:t>
              </w:r>
            </w:hyperlink>
          </w:p>
        </w:tc>
        <w:tc>
          <w:tcPr>
            <w:tcW w:w="6240" w:type="dxa"/>
            <w:vAlign w:val="bottom"/>
            <w:gridSpan w:val="6"/>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Third Amendment to Employment Agreement, dated January 5, 2023, by and between InspireMD, Inc. and Marvin Slosman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by reference to Exhibit 10.64 to the Annual Report on Form 10-K filed on March 30,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Seventh Amendment to Employment Agreement, dated January 18, 2023, by and between InspireMD, Inc. and Craig Shore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by reference to Exhibit 10.65 to the Annual Report on Form 10-K filed on March 30,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Employment Agreement, dated November 2, 2020, by and between the Company and Andrea Tommasoli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Exhibit 10.66 to the Annual Report on Form 10-K filed on March 30,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7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Securities Purchase Agreement dated as of May 12, 2023 between the Company and purchaser identified therein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reference to Exhibit 10.1 of the Current Report on Form 8-K dated May 15, 2023)</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1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Pre-Funded Warrant dated May 15, 2023 (incorporated by reference to Exhibit 10.2 of the Current Report on Form 8-K dated May</w:t>
              </w:r>
            </w:hyperlink>
          </w:p>
        </w:tc>
      </w:tr>
      <w:tr>
        <w:trPr>
          <w:trHeight w:val="196"/>
        </w:trPr>
        <w:tc>
          <w:tcPr>
            <w:tcW w:w="1100" w:type="dxa"/>
            <w:vAlign w:val="bottom"/>
          </w:tcPr>
          <w:p>
            <w:pPr>
              <w:spacing w:after="0"/>
              <w:rPr>
                <w:sz w:val="17"/>
                <w:szCs w:val="17"/>
                <w:color w:val="auto"/>
              </w:rPr>
            </w:pPr>
          </w:p>
        </w:tc>
        <w:tc>
          <w:tcPr>
            <w:tcW w:w="7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15, 2023)</w:t>
              </w:r>
            </w:hyperlink>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Form of Series H Warrant dated May 15, 2023 (incorporated by reference to Exhibit 10.3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1">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140" w:type="dxa"/>
            <w:vAlign w:val="bottom"/>
            <w:gridSpan w:val="9"/>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Series I Warrant dated May 15, 2023 (incorporated by reference to Exhibit 10.4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2">
              <w:r>
                <w:rPr>
                  <w:rFonts w:ascii="Times New Roman" w:cs="Times New Roman" w:eastAsia="Times New Roman" w:hAnsi="Times New Roman"/>
                  <w:sz w:val="18"/>
                  <w:szCs w:val="18"/>
                  <w:color w:val="0000EE"/>
                  <w:w w:val="95"/>
                </w:rPr>
                <w:t>2023)</w:t>
              </w:r>
            </w:hyperlink>
          </w:p>
        </w:tc>
        <w:tc>
          <w:tcPr>
            <w:tcW w:w="280" w:type="dxa"/>
            <w:vAlign w:val="bottom"/>
            <w:tcBorders>
              <w:top w:val="single" w:sz="8" w:color="0000EE"/>
            </w:tcBorders>
          </w:tcPr>
          <w:p>
            <w:pPr>
              <w:spacing w:after="0"/>
              <w:rPr>
                <w:sz w:val="17"/>
                <w:szCs w:val="17"/>
                <w:color w:val="auto"/>
              </w:rPr>
            </w:pPr>
          </w:p>
        </w:tc>
        <w:tc>
          <w:tcPr>
            <w:tcW w:w="32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5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Series J Warrant dated May 15, 2023 (incorporated by reference to Exhibit 10.5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3">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Form of Series K Warrant dated May 15, 2023 (incorporated by reference to Exhibit 10.6 of the Current Report on Form 8-K dated May 15,</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4">
              <w:r>
                <w:rPr>
                  <w:rFonts w:ascii="Times New Roman" w:cs="Times New Roman" w:eastAsia="Times New Roman" w:hAnsi="Times New Roman"/>
                  <w:sz w:val="18"/>
                  <w:szCs w:val="18"/>
                  <w:color w:val="0000EE"/>
                  <w:w w:val="95"/>
                </w:rPr>
                <w:t>2023)</w:t>
              </w:r>
            </w:hyperlink>
          </w:p>
        </w:tc>
        <w:tc>
          <w:tcPr>
            <w:tcW w:w="28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10140" w:type="dxa"/>
            <w:vAlign w:val="bottom"/>
            <w:gridSpan w:val="9"/>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Form of Registration Rights Agreement dated as of May 12, 2023 between the Company and purchaser identified therein (incorporated by</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8"/>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reference to Exhibit 10.7 of the Current Report on Form 8-K dated May 15, 2023)</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586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Fourth Amendment to Employment Agreement, dated August 14, 2020,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reference to Exhibit 10.62 to the Annual Report on Form 10-K filed on March 5, 2024)</w:t>
              </w:r>
            </w:hyperlink>
          </w:p>
        </w:tc>
        <w:tc>
          <w:tcPr>
            <w:tcW w:w="3860" w:type="dxa"/>
            <w:vAlign w:val="bottom"/>
            <w:gridSpan w:val="3"/>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Fourth Amendment to Employment Agreement, dated April 1, 2024, by and between InspireMD, Inc. and Marvin Slosman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reference to Exhibit 10.1 of the Current Report on Form 8-K dated April 2, 2024)</w:t>
              </w:r>
            </w:hyperlink>
          </w:p>
        </w:tc>
      </w:tr>
      <w:tr>
        <w:trPr>
          <w:trHeight w:val="20"/>
        </w:trPr>
        <w:tc>
          <w:tcPr>
            <w:tcW w:w="1100" w:type="dxa"/>
            <w:vAlign w:val="bottom"/>
          </w:tcPr>
          <w:p>
            <w:pPr>
              <w:spacing w:after="0" w:line="20" w:lineRule="exact"/>
              <w:rPr>
                <w:sz w:val="1"/>
                <w:szCs w:val="1"/>
                <w:color w:val="auto"/>
              </w:rPr>
            </w:pPr>
          </w:p>
        </w:tc>
        <w:tc>
          <w:tcPr>
            <w:tcW w:w="5860" w:type="dxa"/>
            <w:vAlign w:val="bottom"/>
            <w:gridSpan w:val="5"/>
            <w:shd w:val="clear" w:color="auto" w:fill="0000EE"/>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101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Eighth Amendment to Employment Agreement, dated April 1, 2024, by and between InspireMD, Inc. and Craig Shore (incorporated by</w:t>
              </w:r>
            </w:hyperlink>
          </w:p>
        </w:tc>
      </w:tr>
      <w:tr>
        <w:trPr>
          <w:trHeight w:val="196"/>
        </w:trPr>
        <w:tc>
          <w:tcPr>
            <w:tcW w:w="1100" w:type="dxa"/>
            <w:vAlign w:val="bottom"/>
          </w:tcPr>
          <w:p>
            <w:pPr>
              <w:spacing w:after="0"/>
              <w:rPr>
                <w:sz w:val="17"/>
                <w:szCs w:val="17"/>
                <w:color w:val="auto"/>
              </w:rPr>
            </w:pPr>
          </w:p>
        </w:tc>
        <w:tc>
          <w:tcPr>
            <w:tcW w:w="10140" w:type="dxa"/>
            <w:vAlign w:val="bottom"/>
            <w:gridSpan w:val="9"/>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reference to Exhibit 10.2 of the Current Report on Form 8-K dated April 2, 2024)</w:t>
              </w:r>
            </w:hyperlink>
          </w:p>
        </w:tc>
      </w:tr>
      <w:tr>
        <w:trPr>
          <w:trHeight w:val="480"/>
        </w:trPr>
        <w:tc>
          <w:tcPr>
            <w:tcW w:w="1100" w:type="dxa"/>
            <w:vAlign w:val="bottom"/>
            <w:tcBorders>
              <w:bottom w:val="single" w:sz="8" w:color="auto"/>
            </w:tcBorders>
          </w:tcPr>
          <w:p>
            <w:pPr>
              <w:spacing w:after="0"/>
              <w:rPr>
                <w:sz w:val="24"/>
                <w:szCs w:val="24"/>
                <w:color w:val="auto"/>
              </w:rPr>
            </w:pPr>
          </w:p>
        </w:tc>
        <w:tc>
          <w:tcPr>
            <w:tcW w:w="5460" w:type="dxa"/>
            <w:vAlign w:val="bottom"/>
            <w:tcBorders>
              <w:top w:val="single" w:sz="8" w:color="0000EE"/>
              <w:bottom w:val="single" w:sz="8" w:color="auto"/>
            </w:tcBorders>
            <w:gridSpan w:val="4"/>
          </w:tcPr>
          <w:p>
            <w:pPr>
              <w:ind w:left="4440"/>
              <w:spacing w:after="0"/>
              <w:rPr>
                <w:sz w:val="20"/>
                <w:szCs w:val="20"/>
                <w:color w:val="auto"/>
              </w:rPr>
            </w:pPr>
            <w:r>
              <w:rPr>
                <w:rFonts w:ascii="Times New Roman" w:cs="Times New Roman" w:eastAsia="Times New Roman" w:hAnsi="Times New Roman"/>
                <w:sz w:val="18"/>
                <w:szCs w:val="18"/>
                <w:color w:val="auto"/>
              </w:rPr>
              <w:t>76</w:t>
            </w:r>
          </w:p>
        </w:tc>
        <w:tc>
          <w:tcPr>
            <w:tcW w:w="40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02" w:right="33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Equity Distribution Agreement by and between InspireMD, Inc. and Piper Sandler &amp; Co., dated May 31, 2024 (incorporated by reference to</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Exhibit 10.1 of the Current Report on Form 8-K dated May 31, 2024)</w:t>
              </w:r>
            </w:hyperlink>
          </w:p>
        </w:tc>
      </w:tr>
      <w:tr>
        <w:trPr>
          <w:trHeight w:val="20"/>
        </w:trPr>
        <w:tc>
          <w:tcPr>
            <w:tcW w:w="11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10.62</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InspireMD, Inc. 2024 Inducement Plan (incorporated by reference to Exhibit 10.1 of the Current Report on Form 8-K dated October 1,</w:t>
              </w:r>
            </w:hyperlink>
          </w:p>
        </w:tc>
      </w:tr>
      <w:tr>
        <w:trPr>
          <w:trHeight w:val="196"/>
        </w:trPr>
        <w:tc>
          <w:tcPr>
            <w:tcW w:w="11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60">
              <w:r>
                <w:rPr>
                  <w:rFonts w:ascii="Times New Roman" w:cs="Times New Roman" w:eastAsia="Times New Roman" w:hAnsi="Times New Roman"/>
                  <w:sz w:val="18"/>
                  <w:szCs w:val="18"/>
                  <w:color w:val="0000EE"/>
                  <w:w w:val="95"/>
                </w:rPr>
                <w:t>2024)</w:t>
              </w:r>
            </w:hyperlink>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10.63</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Form of Inducement Restricted Stock Award Agreement (incorporated by reference to Exhibit 10.2 of the Current Report on Form 8-K</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dated October 1, 2024)</w:t>
              </w:r>
            </w:hyperlink>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10.64</w:t>
            </w:r>
          </w:p>
        </w:tc>
        <w:tc>
          <w:tcPr>
            <w:tcW w:w="10140" w:type="dxa"/>
            <w:vAlign w:val="bottom"/>
            <w:gridSpan w:val="14"/>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Form of Inducement Nonqualified Stock Option Agreement (incorporated by reference to Exhibit 10.3 of the Current Report on Form 8-K</w:t>
              </w:r>
            </w:hyperlink>
          </w:p>
        </w:tc>
      </w:tr>
      <w:tr>
        <w:trPr>
          <w:trHeight w:val="196"/>
        </w:trPr>
        <w:tc>
          <w:tcPr>
            <w:tcW w:w="1100" w:type="dxa"/>
            <w:vAlign w:val="bottom"/>
          </w:tcPr>
          <w:p>
            <w:pPr>
              <w:spacing w:after="0"/>
              <w:rPr>
                <w:sz w:val="17"/>
                <w:szCs w:val="17"/>
                <w:color w:val="auto"/>
              </w:rPr>
            </w:pPr>
          </w:p>
        </w:tc>
        <w:tc>
          <w:tcPr>
            <w:tcW w:w="101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dated October 1, 2024)</w:t>
              </w:r>
            </w:hyperlink>
          </w:p>
        </w:tc>
        <w:tc>
          <w:tcPr>
            <w:tcW w:w="2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10.65</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Form of Inducement Restricted Stock Unit Award Agreement (incorporated by reference to Exhibit 10.4 of the Current Report on Form 8-K</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dated October 1, 2024)</w:t>
              </w:r>
            </w:hyperlink>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10.66</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Lease Agreement, dated October 9, 2024, by and between InspireMD, Inc. and ROIB Waterford, LLC (incorporated by reference to Exhibit</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of the Current Report on Form 8-K dated October 15, 2024)</w:t>
              </w:r>
            </w:hyperlink>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10.67+</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Ninth Amendment to Employment Agreement, dated December 10, 2024, by and between InspireMD, Inc. and Craig Shore (incorporated</w:t>
              </w:r>
            </w:hyperlink>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by reference to Exhibit 10.1 of the Current Report on Form 8-K dated December 12, 2024)</w:t>
              </w:r>
            </w:hyperlink>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10.68*</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Employment Agreement, dated February 12, 2023, by and between InspireMD, Inc. and Shane Gleason</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166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Insider Trading Policy</w:t>
            </w:r>
          </w:p>
        </w:tc>
        <w:tc>
          <w:tcPr>
            <w:tcW w:w="5800" w:type="dxa"/>
            <w:vAlign w:val="bottom"/>
            <w:tcBorders>
              <w:top w:val="single" w:sz="8" w:color="0000EE"/>
            </w:tcBorders>
            <w:gridSpan w:val="8"/>
          </w:tcPr>
          <w:p>
            <w:pPr>
              <w:spacing w:after="0"/>
              <w:rPr>
                <w:sz w:val="24"/>
                <w:szCs w:val="24"/>
                <w:color w:val="auto"/>
              </w:rPr>
            </w:pPr>
          </w:p>
        </w:tc>
        <w:tc>
          <w:tcPr>
            <w:tcW w:w="2680" w:type="dxa"/>
            <w:vAlign w:val="bottom"/>
            <w:gridSpan w:val="2"/>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List of Subsidiaries (incorporated by reference to Exhibit 21.1 to Current Report on Form 8-K filed with the Securities and Exchange</w:t>
              </w:r>
            </w:hyperlink>
          </w:p>
        </w:tc>
      </w:tr>
      <w:tr>
        <w:trPr>
          <w:trHeight w:val="196"/>
        </w:trPr>
        <w:tc>
          <w:tcPr>
            <w:tcW w:w="1100" w:type="dxa"/>
            <w:vAlign w:val="bottom"/>
          </w:tcPr>
          <w:p>
            <w:pPr>
              <w:spacing w:after="0"/>
              <w:rPr>
                <w:sz w:val="17"/>
                <w:szCs w:val="17"/>
                <w:color w:val="auto"/>
              </w:rPr>
            </w:pPr>
          </w:p>
        </w:tc>
        <w:tc>
          <w:tcPr>
            <w:tcW w:w="22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66">
              <w:r>
                <w:rPr>
                  <w:rFonts w:ascii="Times New Roman" w:cs="Times New Roman" w:eastAsia="Times New Roman" w:hAnsi="Times New Roman"/>
                  <w:sz w:val="18"/>
                  <w:szCs w:val="18"/>
                  <w:color w:val="0000EE"/>
                  <w:w w:val="98"/>
                </w:rPr>
                <w:t>Commission on April 6, 2011)</w:t>
              </w:r>
            </w:hyperlink>
          </w:p>
        </w:tc>
        <w:tc>
          <w:tcPr>
            <w:tcW w:w="7940" w:type="dxa"/>
            <w:vAlign w:val="bottom"/>
            <w:gridSpan w:val="9"/>
          </w:tcPr>
          <w:p>
            <w:pPr>
              <w:spacing w:after="0"/>
              <w:rPr>
                <w:sz w:val="17"/>
                <w:szCs w:val="17"/>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8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Consent of Kesselman &amp; Kesselman, Certified Public Accountants</w:t>
            </w:r>
          </w:p>
        </w:tc>
        <w:tc>
          <w:tcPr>
            <w:tcW w:w="5320" w:type="dxa"/>
            <w:vAlign w:val="bottom"/>
            <w:gridSpan w:val="7"/>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Sarbanes-Oxley Act of 2002</w:t>
            </w: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8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Sarbanes-Oxley Act of 2002</w:t>
            </w:r>
          </w:p>
        </w:tc>
        <w:tc>
          <w:tcPr>
            <w:tcW w:w="40" w:type="dxa"/>
            <w:vAlign w:val="bottom"/>
            <w:tcBorders>
              <w:top w:val="single" w:sz="8" w:color="0000EE"/>
            </w:tcBorders>
          </w:tcPr>
          <w:p>
            <w:pPr>
              <w:spacing w:after="0"/>
              <w:rPr>
                <w:sz w:val="24"/>
                <w:szCs w:val="24"/>
                <w:color w:val="auto"/>
              </w:rPr>
            </w:pPr>
          </w:p>
        </w:tc>
        <w:tc>
          <w:tcPr>
            <w:tcW w:w="3220" w:type="dxa"/>
            <w:vAlign w:val="bottom"/>
            <w:gridSpan w:val="3"/>
          </w:tcPr>
          <w:p>
            <w:pPr>
              <w:spacing w:after="0"/>
              <w:rPr>
                <w:sz w:val="24"/>
                <w:szCs w:val="24"/>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18 U.S.C. Section 1350, as Adopted Pursuant to Section 906 of the Sarbanes-</w:t>
            </w:r>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14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Certification of Chief Financial Officer Pursuant to Section 18 U.S.C. Section 1350, as Adopted Pursuant to Section 906 of the Sarbanes-</w:t>
            </w:r>
          </w:p>
        </w:tc>
      </w:tr>
      <w:tr>
        <w:trPr>
          <w:trHeight w:val="196"/>
        </w:trPr>
        <w:tc>
          <w:tcPr>
            <w:tcW w:w="1100" w:type="dxa"/>
            <w:vAlign w:val="bottom"/>
          </w:tcPr>
          <w:p>
            <w:pPr>
              <w:spacing w:after="0"/>
              <w:rPr>
                <w:sz w:val="17"/>
                <w:szCs w:val="17"/>
                <w:color w:val="auto"/>
              </w:rPr>
            </w:pPr>
          </w:p>
        </w:tc>
        <w:tc>
          <w:tcPr>
            <w:tcW w:w="101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w:t>
            </w:r>
          </w:p>
        </w:tc>
      </w:tr>
      <w:tr>
        <w:trPr>
          <w:trHeight w:val="20"/>
        </w:trPr>
        <w:tc>
          <w:tcPr>
            <w:tcW w:w="110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0" w:type="dxa"/>
            <w:vAlign w:val="bottom"/>
            <w:gridSpan w:val="11"/>
          </w:tcPr>
          <w:p>
            <w:pPr>
              <w:spacing w:after="0" w:line="20" w:lineRule="exact"/>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101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InspireMD, Inc. Executive Officer Clawback Policy (incorporated by reference to Exhibit 97.1 to the Annual Report on Form 10-K filed on</w:t>
              </w:r>
            </w:hyperlink>
          </w:p>
        </w:tc>
      </w:tr>
      <w:tr>
        <w:trPr>
          <w:trHeight w:val="196"/>
        </w:trPr>
        <w:tc>
          <w:tcPr>
            <w:tcW w:w="1100" w:type="dxa"/>
            <w:vAlign w:val="bottom"/>
          </w:tcPr>
          <w:p>
            <w:pPr>
              <w:spacing w:after="0"/>
              <w:rPr>
                <w:sz w:val="17"/>
                <w:szCs w:val="17"/>
                <w:color w:val="auto"/>
              </w:rPr>
            </w:pPr>
          </w:p>
        </w:tc>
        <w:tc>
          <w:tcPr>
            <w:tcW w:w="1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67">
              <w:r>
                <w:rPr>
                  <w:rFonts w:ascii="Times New Roman" w:cs="Times New Roman" w:eastAsia="Times New Roman" w:hAnsi="Times New Roman"/>
                  <w:sz w:val="18"/>
                  <w:szCs w:val="18"/>
                  <w:color w:val="0000EE"/>
                  <w:w w:val="98"/>
                </w:rPr>
                <w:t>March 5, 2024)</w:t>
              </w:r>
            </w:hyperlink>
          </w:p>
        </w:tc>
        <w:tc>
          <w:tcPr>
            <w:tcW w:w="9020" w:type="dxa"/>
            <w:vAlign w:val="bottom"/>
            <w:gridSpan w:val="12"/>
          </w:tcPr>
          <w:p>
            <w:pPr>
              <w:spacing w:after="0"/>
              <w:rPr>
                <w:sz w:val="17"/>
                <w:szCs w:val="17"/>
                <w:color w:val="auto"/>
              </w:rPr>
            </w:pPr>
          </w:p>
        </w:tc>
      </w:tr>
      <w:tr>
        <w:trPr>
          <w:trHeight w:val="4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110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4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right="4360" w:firstLine="8"/>
        <w:spacing w:after="0" w:line="500" w:lineRule="auto"/>
        <w:tabs>
          <w:tab w:leader="none" w:pos="109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Filed herewith.</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25" w:lineRule="exact"/>
        <w:rPr>
          <w:sz w:val="20"/>
          <w:szCs w:val="20"/>
          <w:color w:val="auto"/>
        </w:rPr>
      </w:pPr>
    </w:p>
    <w:p>
      <w:pPr>
        <w:ind w:firstLine="8"/>
        <w:spacing w:after="0" w:line="282" w:lineRule="auto"/>
        <w:tabs>
          <w:tab w:leader="none" w:pos="1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under rules of the U.S. Securities and Exchange Commission permitting the confidential treatment of select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INSPIREMD, INC.</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12, 2025</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Marvin Slosman</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Marvin Slosman</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40" w:type="dxa"/>
            <w:vAlign w:val="bottom"/>
          </w:tcPr>
          <w:p>
            <w:pPr>
              <w:spacing w:after="0"/>
              <w:rPr>
                <w:sz w:val="20"/>
                <w:szCs w:val="20"/>
                <w:color w:val="auto"/>
              </w:rPr>
            </w:pPr>
          </w:p>
        </w:tc>
        <w:tc>
          <w:tcPr>
            <w:tcW w:w="494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00" w:type="dxa"/>
            <w:vAlign w:val="bottom"/>
          </w:tcPr>
          <w:p>
            <w:pPr>
              <w:spacing w:after="0"/>
              <w:rPr>
                <w:sz w:val="20"/>
                <w:szCs w:val="20"/>
                <w:color w:val="auto"/>
              </w:rPr>
            </w:pPr>
          </w:p>
        </w:tc>
        <w:tc>
          <w:tcPr>
            <w:tcW w:w="24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425"/>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Marvin Slosman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Marvin Slosman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33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Craig Shore</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Chief Financial Officer, Chief Administrative Officer, Secretary and</w:t>
            </w:r>
          </w:p>
        </w:tc>
        <w:tc>
          <w:tcPr>
            <w:tcW w:w="2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380" w:type="dxa"/>
            <w:vAlign w:val="bottom"/>
            <w:tcBorders>
              <w:bottom w:val="single" w:sz="8" w:color="auto"/>
            </w:tcBorders>
            <w:vMerge w:val="continue"/>
          </w:tcPr>
          <w:p>
            <w:pPr>
              <w:spacing w:after="0"/>
              <w:rPr>
                <w:sz w:val="20"/>
                <w:szCs w:val="20"/>
                <w:color w:val="auto"/>
              </w:rPr>
            </w:pP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Treasurer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Craig Shore</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Paul Stuka</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Paul Stuka</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Michael Berman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Michael Berman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Thomas J. Kester</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Thomas J. Kester</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Gary Roubin</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Gary Roubin</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Kathryn Arnold</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Kathryn Arnold</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Scott R. Ward</w:t>
            </w:r>
          </w:p>
        </w:tc>
        <w:tc>
          <w:tcPr>
            <w:tcW w:w="51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2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March 12, 2025</w:t>
            </w:r>
          </w:p>
        </w:tc>
        <w:tc>
          <w:tcPr>
            <w:tcW w:w="0" w:type="dxa"/>
            <w:vAlign w:val="bottom"/>
          </w:tcPr>
          <w:p>
            <w:pPr>
              <w:spacing w:after="0"/>
              <w:rPr>
                <w:sz w:val="1"/>
                <w:szCs w:val="1"/>
                <w:color w:val="auto"/>
              </w:rPr>
            </w:pPr>
          </w:p>
        </w:tc>
      </w:tr>
      <w:tr>
        <w:trPr>
          <w:trHeight w:val="22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Scott R. Ward</w:t>
            </w:r>
          </w:p>
        </w:tc>
        <w:tc>
          <w:tcPr>
            <w:tcW w:w="24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3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ind w:left="216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AND FOR THE YEAR ENDED DECEMBER 31,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0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620" w:type="dxa"/>
            <w:vAlign w:val="bottom"/>
            <w:tcBorders>
              <w:bottom w:val="single" w:sz="8" w:color="CCEEFF"/>
            </w:tcBorders>
          </w:tcPr>
          <w:p>
            <w:pPr>
              <w:spacing w:after="0"/>
              <w:rPr>
                <w:sz w:val="21"/>
                <w:szCs w:val="21"/>
                <w:color w:val="auto"/>
              </w:rPr>
            </w:pPr>
          </w:p>
        </w:tc>
        <w:tc>
          <w:tcPr>
            <w:tcW w:w="4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2"/>
        </w:trPr>
        <w:tc>
          <w:tcPr>
            <w:tcW w:w="1026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 xml:space="preserve">REPORT OF INDEPENDENT REGISTERED PUBLIC ACCOUNTING FIRM </w:t>
            </w:r>
            <w:r>
              <w:rPr>
                <w:rFonts w:ascii="Times New Roman" w:cs="Times New Roman" w:eastAsia="Times New Roman" w:hAnsi="Times New Roman"/>
                <w:sz w:val="16"/>
                <w:szCs w:val="16"/>
                <w:color w:val="000000"/>
              </w:rPr>
              <w:t>(PCAOB name: Kesselman &amp; Kesselman C.P.A.s and</w:t>
            </w:r>
          </w:p>
        </w:tc>
        <w:tc>
          <w:tcPr>
            <w:tcW w:w="98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F-2</w:t>
            </w:r>
          </w:p>
        </w:tc>
      </w:tr>
      <w:tr>
        <w:trPr>
          <w:trHeight w:val="237"/>
        </w:trPr>
        <w:tc>
          <w:tcPr>
            <w:tcW w:w="6040" w:type="dxa"/>
            <w:vAlign w:val="bottom"/>
            <w:tcBorders>
              <w:top w:val="single" w:sz="8" w:color="0000EE"/>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PCAOB ID: 1309)</w:t>
            </w:r>
          </w:p>
        </w:tc>
        <w:tc>
          <w:tcPr>
            <w:tcW w:w="4220" w:type="dxa"/>
            <w:vAlign w:val="bottom"/>
            <w:tcBorders>
              <w:top w:val="single" w:sz="8" w:color="CCEEFF"/>
            </w:tcBorders>
            <w:shd w:val="clear" w:color="auto" w:fill="CCEEFF"/>
          </w:tcPr>
          <w:p>
            <w:pPr>
              <w:spacing w:after="0"/>
              <w:rPr>
                <w:sz w:val="20"/>
                <w:szCs w:val="20"/>
                <w:color w:val="auto"/>
              </w:rPr>
            </w:pPr>
          </w:p>
        </w:tc>
        <w:tc>
          <w:tcPr>
            <w:tcW w:w="980" w:type="dxa"/>
            <w:vAlign w:val="bottom"/>
            <w:tcBorders>
              <w:top w:val="single" w:sz="8" w:color="CCEEFF"/>
            </w:tcBorders>
            <w:shd w:val="clear" w:color="auto" w:fill="CCEEFF"/>
          </w:tcPr>
          <w:p>
            <w:pPr>
              <w:spacing w:after="0"/>
              <w:rPr>
                <w:sz w:val="20"/>
                <w:szCs w:val="20"/>
                <w:color w:val="auto"/>
              </w:rPr>
            </w:pPr>
          </w:p>
        </w:tc>
      </w:tr>
      <w:tr>
        <w:trPr>
          <w:trHeight w:val="216"/>
        </w:trPr>
        <w:tc>
          <w:tcPr>
            <w:tcW w:w="10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80" w:type="dxa"/>
            <w:vAlign w:val="bottom"/>
          </w:tcPr>
          <w:p>
            <w:pPr>
              <w:spacing w:after="0"/>
              <w:rPr>
                <w:sz w:val="18"/>
                <w:szCs w:val="18"/>
                <w:color w:val="auto"/>
              </w:rPr>
            </w:pPr>
          </w:p>
        </w:tc>
      </w:tr>
      <w:tr>
        <w:trPr>
          <w:trHeight w:val="196"/>
        </w:trPr>
        <w:tc>
          <w:tcPr>
            <w:tcW w:w="21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w:t>
            </w:r>
          </w:p>
        </w:tc>
        <w:tc>
          <w:tcPr>
            <w:tcW w:w="8160" w:type="dxa"/>
            <w:vAlign w:val="bottom"/>
            <w:tcBorders>
              <w:bottom w:val="single" w:sz="8" w:color="CCEEFF"/>
            </w:tcBorders>
            <w:gridSpan w:val="6"/>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175"/>
        </w:trPr>
        <w:tc>
          <w:tcPr>
            <w:tcW w:w="102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9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Equity</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F-6 - F-7</w:t>
            </w:r>
          </w:p>
        </w:tc>
      </w:tr>
      <w:tr>
        <w:trPr>
          <w:trHeight w:val="176"/>
        </w:trPr>
        <w:tc>
          <w:tcPr>
            <w:tcW w:w="33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900" w:type="dxa"/>
            <w:vAlign w:val="bottom"/>
            <w:tcBorders>
              <w:top w:val="single" w:sz="8" w:color="CCEEFF"/>
            </w:tcBorders>
            <w:gridSpan w:val="3"/>
          </w:tcPr>
          <w:p>
            <w:pPr>
              <w:spacing w:after="0"/>
              <w:rPr>
                <w:sz w:val="15"/>
                <w:szCs w:val="15"/>
                <w:color w:val="auto"/>
              </w:rPr>
            </w:pPr>
          </w:p>
        </w:tc>
        <w:tc>
          <w:tcPr>
            <w:tcW w:w="9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102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9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F-9 - F-30</w:t>
            </w:r>
          </w:p>
        </w:tc>
      </w:tr>
      <w:tr>
        <w:trPr>
          <w:trHeight w:val="432"/>
        </w:trPr>
        <w:tc>
          <w:tcPr>
            <w:tcW w:w="2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840" w:type="dxa"/>
            <w:vAlign w:val="bottom"/>
            <w:tcBorders>
              <w:top w:val="single" w:sz="8" w:color="CCEEFF"/>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color w:val="auto"/>
              </w:rPr>
              <w:t>F-1</w:t>
            </w:r>
          </w:p>
        </w:tc>
        <w:tc>
          <w:tcPr>
            <w:tcW w:w="9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0" w:name="page81"/>
    <w:bookmarkEnd w:id="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1200150" cy="8915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120015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InspireMD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InspireMD Inc. and its subsidiaries (the “Company”) as of December 31, 2024 and 2023, and the related consolidated statements of operations, changes in equity and cash flows for each of the two years ended December 31,2024, including the related notes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two years ended December 31, 2024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1b to the consolidated financial statements, the Company has suffered recurring losses from operations and cash outflows from operating activities that raise substantial doubt about its ability to continue as a going concern. Management’s plans in regard to these matters are also described in Note 1b.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determined there are no critical audit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Kessleman &amp; Kesselman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Kesselman &amp; Kesselman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Certified Public Accountants (Isr.)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member of PricewaterhouseCoopers International Limited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and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8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80" w:type="dxa"/>
            <w:vAlign w:val="bottom"/>
            <w:gridSpan w:val="2"/>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18,916</w:t>
            </w:r>
          </w:p>
        </w:tc>
        <w:tc>
          <w:tcPr>
            <w:tcW w:w="7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9,640</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15,721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29,383</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net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1,572</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w:t>
            </w:r>
          </w:p>
        </w:tc>
      </w:tr>
      <w:tr>
        <w:trPr>
          <w:trHeight w:val="216"/>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2,570</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2,106</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30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100" w:type="dxa"/>
            <w:vAlign w:val="bottom"/>
            <w:tcBorders>
              <w:bottom w:val="single" w:sz="8" w:color="CCEEFF"/>
            </w:tcBorders>
          </w:tcPr>
          <w:p>
            <w:pPr>
              <w:spacing w:after="0"/>
              <w:rPr>
                <w:sz w:val="18"/>
                <w:szCs w:val="18"/>
                <w:color w:val="auto"/>
              </w:rPr>
            </w:pPr>
          </w:p>
        </w:tc>
      </w:tr>
      <w:tr>
        <w:trPr>
          <w:trHeight w:val="209"/>
        </w:trPr>
        <w:tc>
          <w:tcPr>
            <w:tcW w:w="46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deposit</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2,371</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r>
      <w:tr>
        <w:trPr>
          <w:trHeight w:val="216"/>
        </w:trPr>
        <w:tc>
          <w:tcPr>
            <w:tcW w:w="4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 in respect of employee rights upon retirement</w:t>
            </w:r>
          </w:p>
        </w:tc>
        <w:tc>
          <w:tcPr>
            <w:tcW w:w="2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1,129</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951</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3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00" w:type="dxa"/>
            <w:vAlign w:val="bottom"/>
          </w:tcPr>
          <w:p>
            <w:pPr>
              <w:spacing w:after="0"/>
              <w:rPr>
                <w:sz w:val="19"/>
                <w:szCs w:val="19"/>
                <w:color w:val="auto"/>
              </w:rPr>
            </w:pPr>
          </w:p>
        </w:tc>
        <w:tc>
          <w:tcPr>
            <w:tcW w:w="1280" w:type="dxa"/>
            <w:vAlign w:val="bottom"/>
            <w:tcBorders>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6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2"/>
          </w:tcPr>
          <w:p>
            <w:pPr>
              <w:jc w:val="right"/>
              <w:ind w:right="2430"/>
              <w:spacing w:after="0"/>
              <w:rPr>
                <w:sz w:val="20"/>
                <w:szCs w:val="20"/>
                <w:color w:val="auto"/>
              </w:rPr>
            </w:pPr>
            <w:r>
              <w:rPr>
                <w:rFonts w:ascii="Times New Roman" w:cs="Times New Roman" w:eastAsia="Times New Roman" w:hAnsi="Times New Roman"/>
                <w:sz w:val="18"/>
                <w:szCs w:val="18"/>
                <w:color w:val="auto"/>
              </w:rPr>
              <w:t>F-3</w:t>
            </w: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2" w:name="page83"/>
    <w:bookmarkEnd w:id="8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6860" w:type="dxa"/>
            <w:vAlign w:val="bottom"/>
            <w:shd w:val="clear" w:color="auto" w:fill="CCEEFF"/>
          </w:tcPr>
          <w:p>
            <w:pPr>
              <w:ind w:left="22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accruals: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Trade</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939</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5,081</w:t>
            </w: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7,678</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6,020</w:t>
            </w: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net of current maturities</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Liability for employee rights upon retirement and others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1,084</w:t>
            </w:r>
          </w:p>
        </w:tc>
      </w:tr>
      <w:tr>
        <w:trPr>
          <w:trHeight w:val="209"/>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3,043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2,122</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10,721</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8,142</w:t>
            </w: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8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150,000,000 shares authorized at December</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 26,611,033 and 21,841,215 shares issued and outstanding at December</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2023, respectively</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C shares, par value $0.0001 per share; 1,172,000 shares authorized at December</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31, 2024 and 2023; 1,718 shares issued and outstanding at December 31, 2024 and 2023;</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289,589</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261,000</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(253,506)</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(221,501)</w:t>
            </w: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36,086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w:t>
            </w:r>
          </w:p>
        </w:tc>
        <w:tc>
          <w:tcPr>
            <w:tcW w:w="100" w:type="dxa"/>
            <w:vAlign w:val="bottom"/>
            <w:tcBorders>
              <w:bottom w:val="single" w:sz="8" w:color="CCEEFF"/>
            </w:tcBorders>
          </w:tcPr>
          <w:p>
            <w:pPr>
              <w:spacing w:after="0"/>
              <w:rPr>
                <w:sz w:val="18"/>
                <w:szCs w:val="18"/>
                <w:color w:val="auto"/>
              </w:rPr>
            </w:pPr>
          </w:p>
        </w:tc>
      </w:tr>
      <w:tr>
        <w:trPr>
          <w:trHeight w:val="223"/>
        </w:trPr>
        <w:tc>
          <w:tcPr>
            <w:tcW w:w="6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46,807</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amount less than $1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0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r>
      <w:tr>
        <w:trPr>
          <w:trHeight w:val="209"/>
        </w:trPr>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7,009</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6,205</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4,398</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13,634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7,981</w:t>
            </w:r>
          </w:p>
        </w:tc>
      </w:tr>
      <w:tr>
        <w:trPr>
          <w:trHeight w:val="216"/>
        </w:trPr>
        <w:tc>
          <w:tcPr>
            <w:tcW w:w="6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3,865</w:t>
            </w:r>
          </w:p>
        </w:tc>
      </w:tr>
      <w:tr>
        <w:trPr>
          <w:trHeight w:val="229"/>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15,306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11,104</w:t>
            </w:r>
          </w:p>
        </w:tc>
      </w:tr>
      <w:tr>
        <w:trPr>
          <w:trHeight w:val="209"/>
        </w:trPr>
        <w:tc>
          <w:tcPr>
            <w:tcW w:w="6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22,950</w:t>
            </w:r>
          </w:p>
        </w:tc>
        <w:tc>
          <w:tcPr>
            <w:tcW w:w="100" w:type="dxa"/>
            <w:vAlign w:val="bottom"/>
            <w:tcBorders>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(21,143)</w:t>
            </w:r>
          </w:p>
        </w:tc>
        <w:tc>
          <w:tcPr>
            <w:tcW w:w="1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1,557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1,292</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 EXPENSES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(31,946)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r>
      <w:tr>
        <w:trPr>
          <w:trHeight w:val="23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TAX EXPENSES</w:t>
            </w: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w:t>
            </w:r>
          </w:p>
        </w:tc>
      </w:tr>
      <w:tr>
        <w:trPr>
          <w:trHeight w:val="209"/>
        </w:trPr>
        <w:tc>
          <w:tcPr>
            <w:tcW w:w="6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63"/>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5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47"/>
        </w:trPr>
        <w:tc>
          <w:tcPr>
            <w:tcW w:w="640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 USED IN</w:t>
            </w:r>
          </w:p>
        </w:tc>
        <w:tc>
          <w:tcPr>
            <w:tcW w:w="5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265"/>
        </w:trPr>
        <w:tc>
          <w:tcPr>
            <w:tcW w:w="6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 PER SHARE - basic and diluted</w:t>
            </w:r>
          </w:p>
        </w:tc>
        <w:tc>
          <w:tcPr>
            <w:tcW w:w="5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41,928,360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24,268,181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2"/>
        </w:trPr>
        <w:tc>
          <w:tcPr>
            <w:tcW w:w="3880" w:type="dxa"/>
            <w:vAlign w:val="bottom"/>
          </w:tcPr>
          <w:p>
            <w:pPr>
              <w:spacing w:after="0"/>
              <w:rPr>
                <w:sz w:val="21"/>
                <w:szCs w:val="21"/>
                <w:color w:val="auto"/>
              </w:rPr>
            </w:pPr>
          </w:p>
        </w:tc>
        <w:tc>
          <w:tcPr>
            <w:tcW w:w="220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7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C shares</w:t>
            </w:r>
          </w:p>
        </w:tc>
        <w:tc>
          <w:tcPr>
            <w:tcW w:w="16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8,330,918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218,977</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(201,585)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17,393</w:t>
            </w:r>
          </w:p>
        </w:tc>
        <w:tc>
          <w:tcPr>
            <w:tcW w:w="100" w:type="dxa"/>
            <w:vAlign w:val="bottom"/>
            <w:shd w:val="clear" w:color="auto" w:fill="CCEEFF"/>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(19,916)</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(19,916)</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307,260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shares, pre-funded</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warrants and warrants, net of $4,635</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issuance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10,266,270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37,533</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37,534</w:t>
            </w:r>
          </w:p>
        </w:tc>
        <w:tc>
          <w:tcPr>
            <w:tcW w:w="100" w:type="dxa"/>
            <w:vAlign w:val="bottom"/>
          </w:tcPr>
          <w:p>
            <w:pPr>
              <w:spacing w:after="0"/>
              <w:rPr>
                <w:sz w:val="20"/>
                <w:szCs w:val="20"/>
                <w:color w:val="auto"/>
              </w:rPr>
            </w:pPr>
          </w:p>
        </w:tc>
      </w:tr>
      <w:tr>
        <w:trPr>
          <w:trHeight w:val="194"/>
        </w:trPr>
        <w:tc>
          <w:tcPr>
            <w:tcW w:w="38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29,695 shares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2,936,767</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4,490</w:t>
            </w: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4,490</w:t>
            </w:r>
          </w:p>
        </w:tc>
        <w:tc>
          <w:tcPr>
            <w:tcW w:w="100" w:type="dxa"/>
            <w:vAlign w:val="bottom"/>
            <w:shd w:val="clear" w:color="auto" w:fill="CCEEFF"/>
          </w:tcPr>
          <w:p>
            <w:pPr>
              <w:spacing w:after="0"/>
              <w:rPr>
                <w:sz w:val="20"/>
                <w:szCs w:val="20"/>
                <w:color w:val="auto"/>
              </w:rPr>
            </w:pPr>
          </w:p>
        </w:tc>
      </w:tr>
      <w:tr>
        <w:trPr>
          <w:trHeight w:val="229"/>
        </w:trPr>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21,841,215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(221,501)</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39,501</w:t>
            </w:r>
          </w:p>
        </w:tc>
        <w:tc>
          <w:tcPr>
            <w:tcW w:w="10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amount less than $1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Preferred C</w:t>
            </w:r>
          </w:p>
        </w:tc>
        <w:tc>
          <w:tcPr>
            <w:tcW w:w="12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spacing w:after="0"/>
              <w:rPr>
                <w:sz w:val="20"/>
                <w:szCs w:val="20"/>
                <w:color w:val="auto"/>
              </w:rPr>
            </w:pPr>
          </w:p>
        </w:tc>
        <w:tc>
          <w:tcPr>
            <w:tcW w:w="16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gridSpan w:val="4"/>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88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00" w:type="dxa"/>
            <w:vAlign w:val="bottom"/>
          </w:tcPr>
          <w:p>
            <w:pPr>
              <w:spacing w:after="0"/>
              <w:rPr>
                <w:sz w:val="19"/>
                <w:szCs w:val="19"/>
                <w:color w:val="auto"/>
              </w:rPr>
            </w:pPr>
          </w:p>
        </w:tc>
        <w:tc>
          <w:tcPr>
            <w:tcW w:w="9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38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21,841,215</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261,000</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(221,501)</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39,501</w:t>
            </w: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(32,005)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(32,005)</w:t>
            </w: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Exercise of pre-funded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1,728,382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Exercise of Warrants Series H to 12,621,090</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pre-funded warrants and 292,996 common</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net of $1,000 issuance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292,996</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16,853</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16,854</w:t>
            </w:r>
          </w:p>
        </w:tc>
      </w:tr>
      <w:tr>
        <w:trPr>
          <w:trHeight w:val="194"/>
        </w:trPr>
        <w:tc>
          <w:tcPr>
            <w:tcW w:w="388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Issuance of common stock, included at the</w:t>
            </w: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8"/>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market offering net of $81 issuance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647,277</w:t>
            </w:r>
          </w:p>
        </w:tc>
        <w:tc>
          <w:tcPr>
            <w:tcW w:w="42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1,598</w:t>
            </w: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1,598</w:t>
            </w:r>
          </w:p>
        </w:tc>
      </w:tr>
      <w:tr>
        <w:trPr>
          <w:trHeight w:val="194"/>
        </w:trPr>
        <w:tc>
          <w:tcPr>
            <w:tcW w:w="388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b w:val="1"/>
                <w:bCs w:val="1"/>
                <w:color w:val="auto"/>
              </w:rPr>
              <w:t>Share-based compensation related to stock,</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 and</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stock options award, net of forfeitures of</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128,660 shares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2,101,163</w:t>
            </w:r>
          </w:p>
        </w:tc>
        <w:tc>
          <w:tcPr>
            <w:tcW w:w="420" w:type="dxa"/>
            <w:vAlign w:val="bottom"/>
          </w:tcPr>
          <w:p>
            <w:pPr>
              <w:spacing w:after="0"/>
              <w:rPr>
                <w:sz w:val="20"/>
                <w:szCs w:val="20"/>
                <w:color w:val="auto"/>
              </w:rPr>
            </w:pPr>
          </w:p>
        </w:tc>
        <w:tc>
          <w:tcPr>
            <w:tcW w:w="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10,138</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10,138</w:t>
            </w:r>
          </w:p>
        </w:tc>
      </w:tr>
      <w:tr>
        <w:trPr>
          <w:trHeight w:val="23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26,611,033</w:t>
            </w:r>
          </w:p>
        </w:tc>
        <w:tc>
          <w:tcPr>
            <w:tcW w:w="4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1,718</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289,589</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(253,506)</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36,086</w:t>
            </w:r>
          </w:p>
        </w:tc>
      </w:tr>
      <w:tr>
        <w:trPr>
          <w:trHeight w:val="20"/>
        </w:trPr>
        <w:tc>
          <w:tcPr>
            <w:tcW w:w="38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Represents an amount less than $1</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(32,005)</w:t>
            </w:r>
          </w:p>
        </w:tc>
        <w:tc>
          <w:tcPr>
            <w:tcW w:w="1360" w:type="dxa"/>
            <w:vAlign w:val="bottom"/>
            <w:gridSpan w:val="2"/>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(19,916)</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from sale of property, plant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markable securities, net of interest received</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liability for employees rights upon retirement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financial expense (income)</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right of use asset and operating leasing liability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4,490</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Decrease in interest receivable on short term deposits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amounts funded in respect of employee rights upon retirement, net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 and liability items: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Decrease (increase) in prepaid expenses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other receivables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w:t>
            </w:r>
          </w:p>
        </w:tc>
      </w:tr>
      <w:tr>
        <w:trPr>
          <w:trHeight w:val="216"/>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inventory</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216"/>
        </w:trPr>
        <w:tc>
          <w:tcPr>
            <w:tcW w:w="6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in trade payables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6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Increase in other payables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532</w:t>
            </w:r>
          </w:p>
        </w:tc>
      </w:tr>
      <w:tr>
        <w:trPr>
          <w:trHeight w:val="209"/>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long-term deposit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short-term bank deposits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 in marketable securities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(14,444)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(34,644)</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matured marketable securities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funded in respect of employee rights upon retirement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Withdrawal from short-term bank deposits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18,500</w:t>
            </w: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 net of $1,000 issuance costs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16,854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shares and warrants, net of $81 and $4,635 issuance costs,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37,534</w:t>
            </w:r>
          </w:p>
        </w:tc>
      </w:tr>
      <w:tr>
        <w:trPr>
          <w:trHeight w:val="210"/>
        </w:trPr>
        <w:tc>
          <w:tcPr>
            <w:tcW w:w="6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CASH AND CASH EQUIVALENTS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100" w:type="dxa"/>
            <w:vAlign w:val="bottom"/>
          </w:tcPr>
          <w:p>
            <w:pPr>
              <w:spacing w:after="0"/>
              <w:rPr>
                <w:sz w:val="18"/>
                <w:szCs w:val="18"/>
                <w:color w:val="auto"/>
              </w:rPr>
            </w:pPr>
          </w:p>
        </w:tc>
      </w:tr>
      <w:tr>
        <w:trPr>
          <w:trHeight w:val="23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BEGINNING OF YEAR</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9,640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4,632</w:t>
            </w:r>
          </w:p>
        </w:tc>
      </w:tr>
      <w:tr>
        <w:trPr>
          <w:trHeight w:val="263"/>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OF CASH AND CASH EQUIVALENTS AT END OF YEAR</w:t>
            </w:r>
          </w:p>
        </w:tc>
        <w:tc>
          <w:tcPr>
            <w:tcW w:w="12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Borders>
              <w:bottom w:val="single" w:sz="8" w:color="CCEEFF"/>
            </w:tcBorders>
          </w:tcPr>
          <w:p>
            <w:pPr>
              <w:spacing w:after="0"/>
              <w:rPr>
                <w:sz w:val="22"/>
                <w:szCs w:val="22"/>
                <w:color w:val="auto"/>
              </w:rPr>
            </w:pPr>
          </w:p>
        </w:tc>
      </w:tr>
      <w:tr>
        <w:trPr>
          <w:trHeight w:val="197"/>
        </w:trPr>
        <w:tc>
          <w:tcPr>
            <w:tcW w:w="6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NON-CASH INVESTING AND FINANCING ACTIVITIES: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of right-of-use assets by means of lease liabilities</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419</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lease incentive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 right-of-use assets and lease liabilities due to shortening lease term</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consolidated financial statements.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5" w:lineRule="exact"/>
        <w:rPr>
          <w:sz w:val="20"/>
          <w:szCs w:val="20"/>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Inc., a Delaware corporation (the “Company”), together with its subsidiaries, including InspireMD Ltd., an Israeli corporation, and InspireMD GmbH, a German corporation, is a medical device company focusing on the development and commercialization of products for the treatment of carotid artery disease and other vascular disease, including the Company’s proprietary CGuard™ stent platform. A stent is an expandable scaffold-like device, usually constructed of a metallic material, that is inserted into the lumen of an artery to create patency and improved blood flow. A sleeve of MicroNet™ mesh is attached over a stent to provide embolic protection both during and after stenting procedures.</w:t>
      </w:r>
    </w:p>
    <w:p>
      <w:pPr>
        <w:spacing w:after="0" w:line="187"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carotid product (CGuard™ EPS) combines MicroNet and a self-expandable nitinol stent in a single device to treat carotid artery disease.</w:t>
      </w:r>
    </w:p>
    <w:p>
      <w:pPr>
        <w:spacing w:after="0" w:line="161"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markets its products through distributors in international markets, mainly in Europe, and is seeking FDA approval for its CGuard Prime carotid stent system to enter the U.S. market.</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an accumulated deficit as of December 31, 2024, as well as a history of net losses and negative operating cash flows. The Company expects to continue incurring losses and negative cash flows from operations until its product, CGuard™ EPS, reaches commercial profitability. As a result of these expected losses and negative cash flows from operations, along with the Company’s current cash position, the Company does not have sufficient resources to fund operations for at least the next 12 months. Therefore, there is substantial doubt about the Company’s ability to continue as a going concern. These consolidated financial statements have been prepared assuming that the Company will continue as a going concern and do not include any adjustments that might result from the outcome of this uncertainty.</w:t>
      </w:r>
    </w:p>
    <w:p>
      <w:pPr>
        <w:spacing w:after="0" w:line="188"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Management’s plans include the continued commercialization of the Company’s product and raising capital through the sale of additional equity securities, debt or capital inflows from strategic partnerships and exercises of warrants. There are no assurances however, that the Company will be successful in obtaining the level of financing needed for its operations. If the Company is unsuccessful in commercializing its products and raising capital, it may need to reduce activities, curtail or cease operations.</w:t>
      </w:r>
    </w:p>
    <w:p>
      <w:pPr>
        <w:spacing w:after="0" w:line="175"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Company’s Operations in Israel</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October 2023, Israel was attacked by a terrorist organization and entered a state of war on several fronts. As of the date of these consolidated financial statements, sustained conflict in the region is ongoing and Israel has entered into certain ceasefires, the results of which are uncertain. The Company operations, including its production facility, are located in Israel. Currently, such activities in Israel remain largely unaffected.</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2024 and 2023, the impact of this war on the Company’s results of operations and financial condition was immaterial, but such impact may increase, which could be material, as a result of the continuation, escalation or expansion of such war.</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Risks Related to the Geopolitical and Military Tensions Between Russia and Ukraine in Europe</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derived approximately 14.5% and 13.5% in the years ended December 31, 2024 and 2023, respectively, of total sales in Russia and Belarus. The escalation of geopolitical instability in Russia and Ukraine as well as currency fluctuations in the Russian Ruble could negatively impact the Company’s operations, sales, and future growth prospects in that region.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a. Use of estimates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using assumptions that affect the reported amounts of assets and liabilities, the disclosure of contingent liabilities at the date of the financial statements and the reported amounts of revenues and expenses during the reporting periods. Actual results could differ from those estimates.</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applicable to these consolidated financial statements, the most significant estimates and assumptions relate to the determination of the lease terms in operating leases.</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b. Functional currency</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currency of the primary economic environment in which the operations of the Company and its subsidiaries are conducted is the U.S.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dollar (“$” or “dollar”). Accordingly, the functional currency of the Company and its subsidiaries is the U.S. dollar.</w:t>
      </w:r>
    </w:p>
    <w:p>
      <w:pPr>
        <w:spacing w:after="0" w:line="207"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dollar figures are determined as follows: transactions and balances originally denominated in dollars are presented in their original amounts. Balances in foreign currencies are translated into dollars using historical and current exchange rates for non-monetary and monetary balances, respectively. The resulting translation gains or losses are recorded as financial income or expense, as appropriate. For transactions reflected in the statements of operations in foreign currencies, the exchange rates at transaction dates are used. Depreciation and changes in inventories and other changes deriving from non-monetary items are based on historical exchange rates.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c. Principles of consolidation</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of its subsidiaries. Intercompany transactions and balances have been eliminated upon consolidation.</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d. Cash and cash equivalents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three months or less from the purchase date to be cash equivalents. As of December 31, 2024 and 2023, cash and cash equivalents consisted of cash, short-term deposits (up to three months from the date of deposit) and money market funds.</w:t>
      </w:r>
    </w:p>
    <w:p>
      <w:pPr>
        <w:spacing w:after="0" w:line="1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e. Marketable securities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Marketable securities consist of debt securities. The Company elected the fair value option to measure and recognize its investments in debt securities in accordance with ASC 825, Financial Instruments as the Company manages its portfolio and evaluates the performance on a fair value basis. Changes in fair value, realized gains and losses on sales of marketable securities, are reflected in the consolidated statements of operation as finance expense (income), net.</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Marketable securities are classified under current assets in the consolidated balance sheets as they represent the investment of funds available for the Company’s current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f. Concentration of credit risk and allowance for doubtful accounts</w:t>
      </w:r>
    </w:p>
    <w:p>
      <w:pPr>
        <w:spacing w:after="0" w:line="22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Financial instruments that may potentially subject the Company to a concentration of credit risk consist of cash and cash equivalents, marketable securities and long-term deposits, which are deposited in major financially sound institutions in the U.S. Israel and Germany, and trade accounts receivable and other receivables. The Company’s trade accounts receivable is derived from revenues earned from customers from various countries. The Company performs ongoing credit evaluations of its customers’ financial condition and, requires no collateral from its customers. The Company also has a credit insurance policy for some of its customers. The Company maintains the allowance for estimated losses resulting from the inability of the Company’s customers to make required payments. The allowance represents the current estimate of lifetime expected credit losses over the remaining duration of existing accounts receivable considering current market conditions and supportable forecasts when appropriate. The estimate is a result of the Company’s ongoing evaluation of collectability, customer creditworthiness, historical levels of credit losses, and future expectations. The allowance for expected credit losses was immaterial during the periods presented.</w:t>
      </w:r>
    </w:p>
    <w:p>
      <w:pPr>
        <w:spacing w:after="0" w:line="19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g. Inventory</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Inventories are stated at the lower of cost (cost is determined on a “first-in, first-out” basis) or net realizable value. The Company’s inventories generally have a limited shelf life and are subject to impairment as they approach their expiration dates. The Company regularly evaluates the carrying value of its inventory and when, based on such evaluation, factors indicate that impairment has occurred, the Company impairs the inventories’ carrying value. There were no impairments or inventory allowances during the years ended December 31, 2024 and 2023.</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h. Leases</w:t>
      </w:r>
    </w:p>
    <w:p>
      <w:pPr>
        <w:spacing w:after="0" w:line="229" w:lineRule="exact"/>
        <w:rPr>
          <w:sz w:val="20"/>
          <w:szCs w:val="20"/>
          <w:color w:val="auto"/>
        </w:rPr>
      </w:pPr>
    </w:p>
    <w:p>
      <w:pPr>
        <w:jc w:val="both"/>
        <w:ind w:left="1300"/>
        <w:spacing w:after="0" w:line="253" w:lineRule="auto"/>
        <w:rPr>
          <w:sz w:val="20"/>
          <w:szCs w:val="20"/>
          <w:color w:val="auto"/>
        </w:rPr>
      </w:pPr>
      <w:r>
        <w:rPr>
          <w:rFonts w:ascii="Times New Roman" w:cs="Times New Roman" w:eastAsia="Times New Roman" w:hAnsi="Times New Roman"/>
          <w:sz w:val="18"/>
          <w:szCs w:val="18"/>
          <w:color w:val="auto"/>
        </w:rPr>
        <w:t>Operating leases are included in operating lease right-of-use (“ROU”) assets. Short-term balances regarding lease liabilities are included in accounts payable and accruals - Other and long-term balances regarding lease liabilities are included in operating lease liabilities. ROU assets represent Company’s right to use an underlying asset for the lease term and lease liabilities represent obligation to make lease payments arising from the lease. Operating lease ROU assets and liabilities are recognized at the lease commencement date based on the present value of lease payments over the lease term. In determining the present value of lease payments, the Company uses the incremental borrowing rate based on the information available at the lease commencement date as the rate implicit in the lease is not readily determinable. The determination of the incremental borrowing rate requires management judgment based on information available at lease commencement. The lease terms may include periods covered by options to extend the lease when it is reasonably certain that the Company will exercise such options, and periods covered by options to terminate the lease when it is reasonably certain that the Company will not exercise such options. Operating lease cost is recognized on a straight-line basis over the lease term. Lease agreements that include lease and non-lease components are accounted for as a single lease component. The Company elected the short-term lease recognition exemption for leases with a lease term of 12 months or less.</w:t>
      </w:r>
    </w:p>
    <w:p>
      <w:pPr>
        <w:spacing w:after="0" w:line="18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i. Property, plant and equipment</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cost, net of accumulated depreciation and amortization. Depreciation is calculated using the straight-line method over the estimated useful lives of the related assets: over three years for computers and other electronic equipment, and seven to fifteen years for office furniture and equipment and machinery and equipment (mainly seven years). Leasehold improvements are amortized on a straight-line basis over the term of the lease, which is shorter than the estimated life of the improvements.</w:t>
      </w:r>
    </w:p>
    <w:p>
      <w:pPr>
        <w:spacing w:after="0" w:line="17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j. Impairment in value of long-lived assets</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Company tests long-lived tangible assets for impairment whenever events or circumstances present an indication of impairment. 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k. Revenue recognition</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A contract with a customer exists only when: 1) the parties to the contract have approved it and are committed to perform their respective obligations, 2) the Company can identify each party’s rights regarding the distinct goods or services to be transferred (“Performance Obligations”), 3) the Company can determine the transaction price for the goods or services to be transferred, 4) the contract has commercial substance and 5) it is probable that the Company will collect the consideration to which it will be entitled in exchange for the goods or services that will be transferred to the customer. Revenues are recorded in the amount of consideration to which the Company expects to be entitled in exchange for Performance Obligations upon transfer of control to the customer, excluding sales taxes.</w:t>
      </w:r>
    </w:p>
    <w:p>
      <w:pPr>
        <w:spacing w:after="0" w:line="187"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Revenue from sales of goods, including sales to distributors, is recognized when the customer obtains control of the product, once the Company has a present right to payment and the customer has legal title, and risks and rewards of ownership are obtained by the customer. Generally, this occurs when products are shipped. In few cases when products are directly sold to medical centers on consignment basis, revenue is recognized when the product is consumed.</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recognizes the incremental costs of obtaining contracts as an expense since the amortization period of the assets that the Company otherwise would have recognized is one year or less. The costs are recorded under selling and marketing expenses. Disaggregated revenue is disclosed in Note 13.</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Company recognizes revenue net of value added tax (VAT).</w:t>
      </w:r>
    </w:p>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l. Research and development costs</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Research and development costs, including the costs of the Company’s U.S.-based clinical trial costs which were approximately $3,815 and $3,300 thousand for the years ended December 31, 2024 and 2023, respectively, are charged to the consolidated statements of operations as incurred.</w:t>
      </w:r>
    </w:p>
    <w:p>
      <w:pPr>
        <w:spacing w:after="0" w:line="172"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 Share-based compensation</w:t>
      </w:r>
    </w:p>
    <w:p>
      <w:pPr>
        <w:spacing w:after="0" w:line="229"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color w:val="auto"/>
        </w:rPr>
        <w:t>The Company has equity incentive plans under which the Company grants equity awards, including stock options, restricted stock and restricted stock units (“RSUs”) to employees, directors and service providers. Employee and service providers equity awards are accounted for using the grant-date fair value method. The Company determines compensation expense associated with restricted stock and RSUs based on the fair value of our common stock on the date of grant. The fair value of option awards is estimated using the Black-Scholes valuation model and expensed over the requisite service period. The Company elected to account for forfeitures as they occur.</w:t>
      </w:r>
    </w:p>
    <w:p>
      <w:pPr>
        <w:spacing w:after="0" w:line="183"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elected to recognize compensation expenses for awards to employees with only service conditions that have graded vesting schedules using the accelerated multiple option approach. The attribution for nonemployee awards is in the same manner as if the Company had paid cash for the goods or services.</w:t>
      </w:r>
    </w:p>
    <w:p>
      <w:pPr>
        <w:spacing w:after="0" w:line="176" w:lineRule="exact"/>
        <w:rPr>
          <w:sz w:val="20"/>
          <w:szCs w:val="20"/>
          <w:color w:val="auto"/>
        </w:rPr>
      </w:pPr>
    </w:p>
    <w:p>
      <w:pPr>
        <w:jc w:val="both"/>
        <w:ind w:left="1300" w:right="20"/>
        <w:spacing w:after="0" w:line="266" w:lineRule="auto"/>
        <w:rPr>
          <w:sz w:val="20"/>
          <w:szCs w:val="20"/>
          <w:color w:val="auto"/>
        </w:rPr>
      </w:pPr>
      <w:r>
        <w:rPr>
          <w:rFonts w:ascii="Times New Roman" w:cs="Times New Roman" w:eastAsia="Times New Roman" w:hAnsi="Times New Roman"/>
          <w:sz w:val="18"/>
          <w:szCs w:val="18"/>
          <w:color w:val="auto"/>
        </w:rPr>
        <w:t>In addition, some of our share-based awards to service providers are performance based, i.e., the vesting of these awards depends upon achieving certain goals. The Company recognizes compensation expenses for awards with performance conditions when the company concludes that it is probable that the performance condition will be achieved.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Uncertain tax positions</w:t>
      </w:r>
    </w:p>
    <w:p>
      <w:pPr>
        <w:spacing w:after="0" w:line="229" w:lineRule="exact"/>
        <w:rPr>
          <w:sz w:val="20"/>
          <w:szCs w:val="20"/>
          <w:color w:val="auto"/>
        </w:rPr>
      </w:pPr>
    </w:p>
    <w:p>
      <w:pPr>
        <w:jc w:val="both"/>
        <w:ind w:left="240"/>
        <w:spacing w:after="0" w:line="256" w:lineRule="auto"/>
        <w:rPr>
          <w:sz w:val="20"/>
          <w:szCs w:val="20"/>
          <w:color w:val="auto"/>
        </w:rPr>
      </w:pPr>
      <w:r>
        <w:rPr>
          <w:rFonts w:ascii="Times New Roman" w:cs="Times New Roman" w:eastAsia="Times New Roman" w:hAnsi="Times New Roman"/>
          <w:sz w:val="18"/>
          <w:szCs w:val="18"/>
          <w:color w:val="auto"/>
        </w:rPr>
        <w:t>The Company follows a two-step approach to recognizing and measuring uncertain tax positions. The first step is to evaluate the tax position for recognition by determining if the weight of available evidence indicates that it is more likely than not that the position will be sustained on audit. If under the first step a tax position is assessed to be more likely than not of being sustained on audit, the second step is performed, under which the tax benefit is measured as the largest amount that is more than 50% likely to be realized upon ultimate settlement. Such liabilities are classified as long-term, unless the liability is expected to be resolved within twelve months from the balance sheet date. The Company’s policy is to include interest related to unrecognized tax benefits within “Financial income - net”.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Deferred income taxes</w:t>
      </w:r>
    </w:p>
    <w:p>
      <w:pPr>
        <w:spacing w:after="0" w:line="229" w:lineRule="exact"/>
        <w:rPr>
          <w:sz w:val="20"/>
          <w:szCs w:val="20"/>
          <w:color w:val="auto"/>
        </w:rPr>
      </w:pPr>
    </w:p>
    <w:p>
      <w:pPr>
        <w:jc w:val="both"/>
        <w:ind w:left="240"/>
        <w:spacing w:after="0" w:line="258" w:lineRule="auto"/>
        <w:rPr>
          <w:sz w:val="20"/>
          <w:szCs w:val="20"/>
          <w:color w:val="auto"/>
        </w:rPr>
      </w:pPr>
      <w:r>
        <w:rPr>
          <w:rFonts w:ascii="Times New Roman" w:cs="Times New Roman" w:eastAsia="Times New Roman" w:hAnsi="Times New Roman"/>
          <w:sz w:val="18"/>
          <w:szCs w:val="18"/>
          <w:color w:val="auto"/>
        </w:rPr>
        <w:t>Deferred taxes are determined utilizing the “asset and liability” method based on the estimated future tax effects of differences between the financial accounting and tax bases of assets and liabilities under the applicable tax laws, and on tax rates anticipated to be in effect when the deferred taxes are expected to be paid or realized. The Company assesses realization of deferred income tax assets and, based on all available evidence, concludes whether it is more likely than not that the net deferred income tax assets will be realized. A valuation allowance is provided for the amount of deferred income tax assets not considered to be realizable.</w:t>
      </w:r>
    </w:p>
    <w:p>
      <w:pPr>
        <w:spacing w:after="0" w:line="183" w:lineRule="exact"/>
        <w:rPr>
          <w:sz w:val="20"/>
          <w:szCs w:val="20"/>
          <w:color w:val="auto"/>
        </w:rPr>
      </w:pPr>
    </w:p>
    <w:p>
      <w:pPr>
        <w:jc w:val="both"/>
        <w:ind w:left="240"/>
        <w:spacing w:after="0" w:line="261" w:lineRule="auto"/>
        <w:rPr>
          <w:sz w:val="20"/>
          <w:szCs w:val="20"/>
          <w:color w:val="auto"/>
        </w:rPr>
      </w:pPr>
      <w:r>
        <w:rPr>
          <w:rFonts w:ascii="Times New Roman" w:cs="Times New Roman" w:eastAsia="Times New Roman" w:hAnsi="Times New Roman"/>
          <w:sz w:val="18"/>
          <w:szCs w:val="18"/>
          <w:color w:val="auto"/>
        </w:rPr>
        <w:t>The Company may incur an additional tax liability in the event of intercompany dividend distributions by its subsidiaries. Such additional tax liability in respect of these foreign subsidiaries has not been provided for in these consolidated financial statements as it is the Company’s policy to permanently reinvest the subsidiaries’ earnings and to consider distributing dividends only in connection with a specific tax opportunity that may arise.</w:t>
      </w:r>
    </w:p>
    <w:p>
      <w:pPr>
        <w:spacing w:after="0" w:line="180" w:lineRule="exact"/>
        <w:rPr>
          <w:sz w:val="20"/>
          <w:szCs w:val="20"/>
          <w:color w:val="auto"/>
        </w:rPr>
      </w:pPr>
    </w:p>
    <w:p>
      <w:pPr>
        <w:jc w:val="both"/>
        <w:ind w:left="240" w:right="20"/>
        <w:spacing w:after="0" w:line="282" w:lineRule="auto"/>
        <w:rPr>
          <w:sz w:val="20"/>
          <w:szCs w:val="20"/>
          <w:color w:val="auto"/>
        </w:rPr>
      </w:pPr>
      <w:r>
        <w:rPr>
          <w:rFonts w:ascii="Times New Roman" w:cs="Times New Roman" w:eastAsia="Times New Roman" w:hAnsi="Times New Roman"/>
          <w:sz w:val="18"/>
          <w:szCs w:val="18"/>
          <w:color w:val="auto"/>
        </w:rPr>
        <w:t>Taxes that would apply in the event of disposal of investments in a foreign subsidiary have not been taken into account in computing the deferred taxes, as it is the Company’s intention to hold, and not to realize, these investments.</w:t>
      </w:r>
    </w:p>
    <w:p>
      <w:pPr>
        <w:spacing w:after="0" w:line="16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80"/>
          </w:cols>
          <w:pgMar w:left="1380" w:top="711"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p. Advertising</w:t>
      </w:r>
    </w:p>
    <w:p>
      <w:pPr>
        <w:spacing w:after="0" w:line="229"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Costs related to advertising and promotion of products are charged to sales and marketing expense as incurred. Advertising expenses were approximately $691 and $426 thousand for the years ended December 31, 2024 and 2023, respectively.</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q. Net loss per share</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the net loss for the period by the weighted average number of shares of common stock, pre-funded warrants and fully vested restricted stock units outstanding during the period. The calculation of diluted net loss per share excludes the effect of potential dilution of share options, warrants, and unvested restricted stocks, unvested restricted stock units and Series C preferred stock as the effect is anti-dilutive.</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For the purpose of calculating basic net loss per share, the additional shares of common stock that are issuable upon exercise of the Pre-funded Warrants have been included since the shares are issuable for a negligible consideration, as determined by the Company according to ASC 260-10-45-13, and have no vesting or other contingencies associated with them.</w:t>
      </w:r>
    </w:p>
    <w:p>
      <w:pPr>
        <w:spacing w:after="0" w:line="176"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related to outstanding options, warrants, unvested restricted stock, unvested restricted stock units and Series C Preferred Stock, which were excluded from the calculations of diluted loss per share were 48,681,495 and 59,723,455 for the years ended December 31, 2024 and 2023, respectively. This amount includes 4,073,966 and 3,054,086 of unvested restricted stock included in the number of issued and outstanding shares as of December 31, 2024 and 2023, respectively.</w:t>
      </w:r>
    </w:p>
    <w:p>
      <w:pPr>
        <w:spacing w:after="0" w:line="180"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2024 and 2023 the weighted average number of ordinary shares used in computing net loss per share - basic and diluted was as follows:</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7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20,501,816</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14,606,248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Vested restricted stock units</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306,731</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23,335</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Pre-funded Warrants</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21,119,813</w:t>
            </w:r>
          </w:p>
        </w:tc>
        <w:tc>
          <w:tcPr>
            <w:tcW w:w="1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9,638,598</w:t>
            </w:r>
          </w:p>
        </w:tc>
      </w:tr>
      <w:tr>
        <w:trPr>
          <w:trHeight w:val="198"/>
        </w:trPr>
        <w:tc>
          <w:tcPr>
            <w:tcW w:w="5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Total Weighted average number of ordinary shares used in computing net</w:t>
            </w: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41,928,360</w:t>
            </w:r>
          </w:p>
        </w:tc>
        <w:tc>
          <w:tcPr>
            <w:tcW w:w="1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24,268,181</w:t>
            </w:r>
          </w:p>
        </w:tc>
      </w:tr>
    </w:tbl>
    <w:p>
      <w:pPr>
        <w:spacing w:after="0" w:line="221"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r. Segment reporting</w:t>
      </w:r>
    </w:p>
    <w:p>
      <w:pPr>
        <w:spacing w:after="0" w:line="229"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 Company has one operating and reportable segment. The Company has adopted the new accounting standard ASU 2023-07 “Segment Reporting: Improvements to Reportable Segment Disclosures” in 2024, see note 14.</w:t>
      </w:r>
    </w:p>
    <w:p>
      <w:pPr>
        <w:spacing w:after="0" w:line="158"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s. Fair value measurement</w:t>
      </w:r>
    </w:p>
    <w:p>
      <w:pPr>
        <w:spacing w:after="0" w:line="229"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Company measures fair value and discloses fair value measurements for financial assets and liabilities. Fair value is based on the price that would be received to sell an asset or paid to transfer a liability in an orderly transaction between market participants at the measurement date.</w:t>
      </w:r>
    </w:p>
    <w:p>
      <w:pPr>
        <w:spacing w:after="0" w:line="203"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accounting standard establishes a fair value hierarchy that prioritizes observable and unobservable inputs used to measure fair value into three broad levels, which are described below:</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 The fair value hierarchy gives the highest priority to Level 1 inputs.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Level 3: Unobservable inputs are used when little or no market data is available. The fair value hierarchy gives the lowest priority to Level 3 inputs.</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SIGNIFICANT ACCOUNTING POLICIES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 Recently issued accounting pronouncement, not yet adopted</w:t>
      </w:r>
    </w:p>
    <w:p>
      <w:pPr>
        <w:spacing w:after="0" w:line="229" w:lineRule="exact"/>
        <w:rPr>
          <w:sz w:val="20"/>
          <w:szCs w:val="20"/>
          <w:color w:val="auto"/>
        </w:rPr>
      </w:pPr>
    </w:p>
    <w:p>
      <w:pPr>
        <w:jc w:val="both"/>
        <w:ind w:left="1960" w:hanging="332"/>
        <w:spacing w:after="0" w:line="255"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This guidance is intended to enhance the transparency and decision-usefulness of income tax disclosures. The amendments in ASU 2023-09 address investor requests for enhanced income tax information primarily through changes to disclosure regarding rate reconciliation and income taxes paid both in the U.S. and in foreign jurisdictions. ASU 2023-09 is effective for fiscal years beginning after December 15, 2024 on a prospective basis, with the option to apply the standard retrospectively. Early adoption is permitted. The Company is currently evaluating this guidance to determine the impact it may have on its consolidated financial statements and disclosures.</w:t>
      </w:r>
    </w:p>
    <w:p>
      <w:pPr>
        <w:spacing w:after="0" w:line="188" w:lineRule="exact"/>
        <w:rPr>
          <w:rFonts w:ascii="Times New Roman" w:cs="Times New Roman" w:eastAsia="Times New Roman" w:hAnsi="Times New Roman"/>
          <w:sz w:val="18"/>
          <w:szCs w:val="18"/>
          <w:color w:val="auto"/>
        </w:rPr>
      </w:pPr>
    </w:p>
    <w:p>
      <w:pPr>
        <w:jc w:val="both"/>
        <w:ind w:left="1960" w:hanging="332"/>
        <w:spacing w:after="0" w:line="254" w:lineRule="auto"/>
        <w:tabs>
          <w:tab w:leader="none" w:pos="1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 ASU improves the disclosures about a 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sales, SG&amp;A and research and development). The ASU is effective for fiscal years beginning after December 15, 2026, and interim periods within fiscal years beginning after December 15, 2027. Early adoption is permitted. The Company is currently evaluating this ASU to determine its impact on the Company’s financial statements and disclosures.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 carrying amounts of accounts payable, accounts receivable and other receivables approximate their fair values due to the short-term maturities of these instruments.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carrying amount of the long-term deposit approximates its fair value since it is measured at its present value applying prevailing interest rates, see note 7.</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Company’s financial assets subject to fair value measurements on a recurring basis and the level of inputs used in such measurements were as follows:</w:t>
      </w:r>
    </w:p>
    <w:p>
      <w:pPr>
        <w:spacing w:after="0" w:line="15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 of December 31, 2024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bonds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Money market funds</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7,094</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Marketable securities-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bonds</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Company’s debt securities are classified within Level 1 and Level 2 because it uses quoted market prices or alternative pricing sources and models utilizing market observable inputs to determine their fair value.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marketable securities as of December 31, 2024 and 2023 is $15,277 and 28,727 thousand,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MARKETABLE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Company’s marketable securities for the indicated period:</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29"/>
        </w:trPr>
        <w:tc>
          <w:tcPr>
            <w:tcW w:w="5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0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8"/>
        </w:trPr>
        <w:tc>
          <w:tcPr>
            <w:tcW w:w="59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9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bonds</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15,721</w:t>
            </w:r>
          </w:p>
        </w:tc>
        <w:tc>
          <w:tcPr>
            <w:tcW w:w="70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marketable securities classified by maturity as of December 31, 2024 and 2023:</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2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maturing within one year</w:t>
            </w:r>
          </w:p>
        </w:tc>
        <w:tc>
          <w:tcPr>
            <w:tcW w:w="1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8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maturing after one year through two years</w:t>
            </w:r>
          </w:p>
        </w:tc>
        <w:tc>
          <w:tcPr>
            <w:tcW w:w="1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2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table below sets forth a summary of the changes in the fair value of the Company’s marketable securities for the years ended December 31, 2024 and 2023:</w:t>
      </w:r>
    </w:p>
    <w:p>
      <w:pPr>
        <w:spacing w:after="0" w:line="171"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266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Maturity</w:t>
            </w:r>
          </w:p>
        </w:tc>
        <w:tc>
          <w:tcPr>
            <w:tcW w:w="16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(29,000)</w:t>
            </w:r>
          </w:p>
        </w:tc>
        <w:tc>
          <w:tcPr>
            <w:tcW w:w="5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5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during the year</w:t>
            </w:r>
          </w:p>
        </w:tc>
        <w:tc>
          <w:tcPr>
            <w:tcW w:w="16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2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the period</w:t>
            </w:r>
          </w:p>
        </w:tc>
        <w:tc>
          <w:tcPr>
            <w:tcW w:w="164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15,721</w:t>
            </w: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w:t>
      </w:r>
    </w:p>
    <w:p>
      <w:pPr>
        <w:spacing w:after="0" w:line="229" w:lineRule="exact"/>
        <w:rPr>
          <w:sz w:val="20"/>
          <w:szCs w:val="20"/>
          <w:color w:val="auto"/>
        </w:rPr>
      </w:pPr>
    </w:p>
    <w:p>
      <w:pPr>
        <w:ind w:left="1300" w:hanging="320"/>
        <w:spacing w:after="0"/>
        <w:tabs>
          <w:tab w:leader="none" w:pos="130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Composition of assets, grouped by major classifications, is as follows:</w:t>
      </w:r>
    </w:p>
    <w:p>
      <w:pPr>
        <w:spacing w:after="0" w:line="235" w:lineRule="exact"/>
        <w:rPr>
          <w:sz w:val="20"/>
          <w:szCs w:val="20"/>
          <w:color w:val="auto"/>
        </w:rPr>
      </w:pPr>
    </w:p>
    <w:tbl>
      <w:tblPr>
        <w:tblLayout w:type="fixed"/>
        <w:tblInd w:w="86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474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Computer equipment</w:t>
            </w:r>
          </w:p>
        </w:tc>
        <w:tc>
          <w:tcPr>
            <w:tcW w:w="154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(2,040)</w:t>
            </w: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300" w:hanging="320"/>
        <w:spacing w:after="0" w:line="266" w:lineRule="auto"/>
        <w:tabs>
          <w:tab w:leader="none" w:pos="130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and amortization expenses totaled approximately $280,000 and $232,000 for the years ended December 31, 2024, and 2023, respectively, excluding fixed assets that the company purchased, which is awaiting FDA approval and, as a result, is not yet operational and not depreciated.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LIABILITY FOR EMPLOYEE RIGHTS UPON RETIREMENT AND OTHERS</w:t>
      </w:r>
    </w:p>
    <w:p>
      <w:pPr>
        <w:spacing w:after="0" w:line="229" w:lineRule="exact"/>
        <w:rPr>
          <w:sz w:val="20"/>
          <w:szCs w:val="20"/>
          <w:color w:val="auto"/>
        </w:rPr>
      </w:pPr>
    </w:p>
    <w:p>
      <w:pPr>
        <w:jc w:val="both"/>
        <w:ind w:left="980" w:right="20"/>
        <w:spacing w:after="0" w:line="282" w:lineRule="auto"/>
        <w:rPr>
          <w:sz w:val="20"/>
          <w:szCs w:val="20"/>
          <w:color w:val="auto"/>
        </w:rPr>
      </w:pPr>
      <w:r>
        <w:rPr>
          <w:rFonts w:ascii="Times New Roman" w:cs="Times New Roman" w:eastAsia="Times New Roman" w:hAnsi="Times New Roman"/>
          <w:sz w:val="18"/>
          <w:szCs w:val="18"/>
          <w:color w:val="auto"/>
        </w:rPr>
        <w:t>Israeli labor law generally requires payment of severance pay upon dismissal of an employee or upon termination of employment in certain other circumstances.</w:t>
      </w:r>
    </w:p>
    <w:p>
      <w:pPr>
        <w:spacing w:after="0" w:line="162"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Pursuant to section 14 of the Israeli Severance Compensation Act, 1963, most of the Company’s employees are entitled to have monthly deposits, at a rate of 8.33% of their monthly salary, made in their name with insurance companies. Payments in accordance with section 14 relieve the Company from any future severance payments to these employees. The severance pay expenses for such employees were approximately $293,000 and $256,000 for the years ended December 31, 2024 and 2023, respectively.</w:t>
      </w:r>
    </w:p>
    <w:p>
      <w:pPr>
        <w:spacing w:after="0" w:line="180" w:lineRule="exact"/>
        <w:rPr>
          <w:sz w:val="20"/>
          <w:szCs w:val="20"/>
          <w:color w:val="auto"/>
        </w:rPr>
      </w:pPr>
    </w:p>
    <w:p>
      <w:pPr>
        <w:jc w:val="both"/>
        <w:ind w:left="980"/>
        <w:spacing w:after="0" w:line="256" w:lineRule="auto"/>
        <w:rPr>
          <w:sz w:val="20"/>
          <w:szCs w:val="20"/>
          <w:color w:val="auto"/>
        </w:rPr>
      </w:pPr>
      <w:r>
        <w:rPr>
          <w:rFonts w:ascii="Times New Roman" w:cs="Times New Roman" w:eastAsia="Times New Roman" w:hAnsi="Times New Roman"/>
          <w:sz w:val="18"/>
          <w:szCs w:val="18"/>
          <w:color w:val="auto"/>
        </w:rPr>
        <w:t>The severance pay liability of the Company for the rest of its Israeli employees amounting to $1,224 thousand and $1,084 thousand for the years ended December 31, 2024 and 2023, respectively, reflects the undiscounted amount of the liability and is based upon the number of years of service and the latest monthly salary. The severance pay liability is partly covered by insurance policies and by regular deposits with recognized severance payment funds. The Company may only withdraw funds previously deposited for savings in connection with the payment of severance. The severance pay expenses for such employees were approximately $124,000 and $116,000 for the years ended December 31,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 AGREEMENTS</w:t>
      </w:r>
    </w:p>
    <w:p>
      <w:pPr>
        <w:spacing w:after="0" w:line="229" w:lineRule="exact"/>
        <w:rPr>
          <w:sz w:val="20"/>
          <w:szCs w:val="20"/>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2024, the Company entered into a lease agreement in Miami, Florida (the “U.S. Lease”) for the establishment of its new global headquarters.</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lease rent commences on the date that the landlord delivers the entire premises to the Company with (i) the landlord’s completion of the construction of Suite 280 and (ii) the construction of Suite 215 being substantially complete (the “Commencement Date”). The U.S. lease will be in effect until August 31, 2030, with an option for a five-year extension in accordance with the lease terms. However, the Company has determined that the lease renewal option is not reasonably certain to be exercised due to operational and strategic factors.</w:t>
      </w:r>
    </w:p>
    <w:p>
      <w:pPr>
        <w:spacing w:after="0" w:line="179"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U.S. Lease, the Company will pay the landlord a security deposit of $500 thousand. Provided the Company does not default, the security deposit will be refunded at specified intervals throughout the lease term. The present value of the deposit as of December 31, 2024, is $426 thousand, and it is classified as Long-term Deposit while the remaining is included as Operating Lease Right of Use Assets.</w:t>
      </w:r>
    </w:p>
    <w:p>
      <w:pPr>
        <w:spacing w:after="0" w:line="175"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took possession of Suite 215 as of November 1, 2024 (“Commencement Date”), and it expects to take possession of Suite 280 in May 2025 following the substantial completion of landlord improvements as outlined in the U.S. Lease.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Israeli subsidiary had a lease agreement for a facility in Israel (the “Israeli Lease”), which expired on December 31, 2022 with an option to extend the Israeli Lease for two additional years until December 31, 2024. On May 25, 2022 the Company amended the Israeli Lease and extended it until December 31, 2026 and also leased additional space in the facility.</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24, 2023, the Company amended the Israeli Lease, leasing additional space in the facility and shortened the lease term of another space in the building. The balances of right of use assets and lease liabilities increased due to the newly leased space and decreased due to the lease that was shortened.</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14, 2024, the Company amended the Israeli Lease, modifying the structure of the extension options. While the lease term currently extends through December 31, 2027, any extensions beyond this date are subject to the landlord’s approval and are not solely at the Company’s discretion.</w:t>
      </w:r>
    </w:p>
    <w:p>
      <w:pPr>
        <w:spacing w:after="0" w:line="17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as part of the approval of the Company’s long term strategic production plan, the Company reassessed its long-term leasing strategy. Following this reassessment, the Company updated its assumption on the lease term for the Israeli premise and included the optional period until the end of 2027 within the lease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for the years ended December 31, 2024 and 2023 in Tel-Aviv was $423 and $433 thousand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for the years ended December 31, 2024 and 2023 in Miami was $34 thousand and $0 respectively.</w:t>
      </w:r>
    </w:p>
    <w:p>
      <w:pPr>
        <w:spacing w:after="0" w:line="225"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In addition to the fixed lease payments in Miami, the Company incurred variable expenses related to the lease, including utilities, maintenance, and other common area costs, totaling approximately $21 thousand for the year ended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Supplemental information related to leases are as follows:</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60" w:type="dxa"/>
            <w:vAlign w:val="bottom"/>
            <w:gridSpan w:val="8"/>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98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 in</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8"/>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4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2,360</w:t>
            </w:r>
          </w:p>
        </w:tc>
        <w:tc>
          <w:tcPr>
            <w:tcW w:w="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60" w:type="dxa"/>
            <w:vAlign w:val="bottom"/>
            <w:tcBorders>
              <w:top w:val="single" w:sz="8" w:color="CCEEFF"/>
            </w:tcBorders>
            <w:shd w:val="clear" w:color="auto" w:fill="CCEEFF"/>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Other information:</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rPr>
                <w:sz w:val="17"/>
                <w:szCs w:val="17"/>
                <w:color w:val="auto"/>
              </w:rPr>
            </w:pPr>
          </w:p>
        </w:tc>
        <w:tc>
          <w:tcPr>
            <w:tcW w:w="48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cash flows from operating leases (cash paid in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1"/>
                <w:szCs w:val="21"/>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thousands)</w:t>
            </w:r>
          </w:p>
        </w:tc>
        <w:tc>
          <w:tcPr>
            <w:tcW w:w="9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60" w:type="dxa"/>
            <w:vAlign w:val="bottom"/>
            <w:shd w:val="clear" w:color="auto" w:fill="CCEEFF"/>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420" w:type="dxa"/>
            <w:vAlign w:val="bottom"/>
            <w:tcBorders>
              <w:top w:val="single" w:sz="8" w:color="auto"/>
              <w:bottom w:val="single" w:sz="8" w:color="auto"/>
            </w:tcBorders>
            <w:gridSpan w:val="2"/>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20" w:type="dxa"/>
            <w:vAlign w:val="bottom"/>
            <w:tcBorders>
              <w:bottom w:val="single" w:sz="8" w:color="auto"/>
            </w:tcBorders>
            <w:gridSpan w:val="2"/>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6800" w:type="dxa"/>
            <w:vAlign w:val="bottom"/>
            <w:gridSpan w:val="4"/>
          </w:tcPr>
          <w:p>
            <w:pPr>
              <w:ind w:left="162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are as follows:</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9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 in</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thousands)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9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60" w:type="dxa"/>
            <w:vAlign w:val="bottom"/>
            <w:tcBorders>
              <w:top w:val="single" w:sz="8" w:color="CCEEFF"/>
            </w:tcBorders>
            <w:shd w:val="clear" w:color="auto" w:fill="CCEEFF"/>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980" w:type="dxa"/>
            <w:vAlign w:val="bottom"/>
          </w:tcPr>
          <w:p>
            <w:pPr>
              <w:spacing w:after="0"/>
              <w:rPr>
                <w:sz w:val="21"/>
                <w:szCs w:val="21"/>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onwards</w:t>
            </w: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82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CCEEFF"/>
              <w:bottom w:val="single" w:sz="8" w:color="CCEEFF"/>
            </w:tcBorders>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980" w:type="dxa"/>
            <w:vAlign w:val="bottom"/>
          </w:tcPr>
          <w:p>
            <w:pPr>
              <w:spacing w:after="0"/>
              <w:rPr>
                <w:sz w:val="20"/>
                <w:szCs w:val="20"/>
                <w:color w:val="auto"/>
              </w:rPr>
            </w:pPr>
          </w:p>
        </w:tc>
        <w:tc>
          <w:tcPr>
            <w:tcW w:w="4820" w:type="dxa"/>
            <w:vAlign w:val="bottom"/>
            <w:tcBorders>
              <w:bottom w:val="single" w:sz="8" w:color="CCEEFF"/>
            </w:tcBorders>
            <w:gridSpan w:val="3"/>
            <w:vMerge w:val="continue"/>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2,939</w:t>
            </w:r>
          </w:p>
        </w:tc>
        <w:tc>
          <w:tcPr>
            <w:tcW w:w="60" w:type="dxa"/>
            <w:vAlign w:val="bottom"/>
            <w:tcBorders>
              <w:bottom w:val="single" w:sz="8" w:color="CCEEFF"/>
            </w:tcBorders>
            <w:vMerge w:val="continue"/>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980" w:type="dxa"/>
            <w:vAlign w:val="bottom"/>
          </w:tcPr>
          <w:p>
            <w:pPr>
              <w:spacing w:after="0"/>
              <w:rPr>
                <w:sz w:val="17"/>
                <w:szCs w:val="17"/>
                <w:color w:val="auto"/>
              </w:rPr>
            </w:pPr>
          </w:p>
        </w:tc>
        <w:tc>
          <w:tcPr>
            <w:tcW w:w="4820" w:type="dxa"/>
            <w:vAlign w:val="bottom"/>
            <w:tcBorders>
              <w:bottom w:val="single" w:sz="8" w:color="CCEEFF"/>
            </w:tcBorders>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imputed interest</w:t>
            </w:r>
          </w:p>
        </w:tc>
        <w:tc>
          <w:tcPr>
            <w:tcW w:w="8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(601</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80" w:type="dxa"/>
            <w:vAlign w:val="bottom"/>
          </w:tcPr>
          <w:p>
            <w:pPr>
              <w:spacing w:after="0"/>
              <w:rPr>
                <w:sz w:val="17"/>
                <w:szCs w:val="17"/>
                <w:color w:val="auto"/>
              </w:rPr>
            </w:pPr>
          </w:p>
        </w:tc>
        <w:tc>
          <w:tcPr>
            <w:tcW w:w="4820" w:type="dxa"/>
            <w:vAlign w:val="bottom"/>
            <w:gridSpan w:val="3"/>
            <w:vMerge w:val="continue"/>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2,338</w:t>
            </w:r>
          </w:p>
        </w:tc>
        <w:tc>
          <w:tcPr>
            <w:tcW w:w="6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80" w:type="dxa"/>
            <w:vAlign w:val="bottom"/>
          </w:tcPr>
          <w:p>
            <w:pPr>
              <w:spacing w:after="0" w:line="20" w:lineRule="exact"/>
              <w:rPr>
                <w:sz w:val="1"/>
                <w:szCs w:val="1"/>
                <w:color w:val="auto"/>
              </w:rPr>
            </w:pPr>
          </w:p>
        </w:tc>
        <w:tc>
          <w:tcPr>
            <w:tcW w:w="4820" w:type="dxa"/>
            <w:vAlign w:val="bottom"/>
            <w:gridSpan w:val="3"/>
            <w:vMerge w:val="restart"/>
          </w:tcPr>
          <w:p>
            <w:pPr>
              <w:ind w:left="3480"/>
              <w:spacing w:after="0"/>
              <w:rPr>
                <w:sz w:val="20"/>
                <w:szCs w:val="20"/>
                <w:color w:val="auto"/>
              </w:rPr>
            </w:pPr>
            <w:r>
              <w:rPr>
                <w:rFonts w:ascii="Times New Roman" w:cs="Times New Roman" w:eastAsia="Times New Roman" w:hAnsi="Times New Roman"/>
                <w:sz w:val="18"/>
                <w:szCs w:val="18"/>
                <w:color w:val="auto"/>
              </w:rPr>
              <w:t>F-19</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gridSpan w:val="3"/>
            <w:vMerge w:val="continue"/>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CONTINGENT LIABILITIES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Distribution Agreement with Chinese Partner</w:t>
      </w:r>
    </w:p>
    <w:p>
      <w:pPr>
        <w:spacing w:after="0" w:line="229"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On February 3, 2021, the Company entered into a distribution agreement (the “Distribution Agreement”) with three China-based partners, pursuant to which the Chinese partners will be responsible for conducting the necessary registration trials for commercial approval of the Company’s products in China, followed by an eight-year exclusive distribution right to sell the Company’s products in China with the term of the agreement continuing on a year-to-year basis unless terminated. Under the Distribution Agreement, the China-based partners will be subject to minimum purchase obligations. The Distribution Agreement may be terminated for cause upon failure to meet minimum purchase obligations, failure to obtain regulatory approvals or for other material breaches.</w:t>
      </w:r>
    </w:p>
    <w:p>
      <w:pPr>
        <w:spacing w:after="0" w:line="187" w:lineRule="exact"/>
        <w:rPr>
          <w:sz w:val="20"/>
          <w:szCs w:val="20"/>
          <w:color w:val="auto"/>
        </w:rPr>
      </w:pPr>
    </w:p>
    <w:p>
      <w:pPr>
        <w:jc w:val="both"/>
        <w:ind w:left="1300"/>
        <w:spacing w:after="0" w:line="256" w:lineRule="auto"/>
        <w:rPr>
          <w:sz w:val="20"/>
          <w:szCs w:val="20"/>
          <w:color w:val="auto"/>
        </w:rPr>
      </w:pPr>
      <w:r>
        <w:rPr>
          <w:rFonts w:ascii="Times New Roman" w:cs="Times New Roman" w:eastAsia="Times New Roman" w:hAnsi="Times New Roman"/>
          <w:sz w:val="18"/>
          <w:szCs w:val="18"/>
          <w:color w:val="auto"/>
        </w:rPr>
        <w:t>In addition, the agreement stipulates that if the Distributor fails to obtain the Regulatory Approvals by the time stipulated in the agreement due to the failure of the clinical trials, and this Agreement was terminated as a result of such failure to obtain Regulatory Approvals, InspireMD shall reimburse Distributor in an amount which is 50% of Distributor’s direct out of pocket costs to 3rd parties for conducting the clinical trials, which reimbursement will not exceed USD 1,000,000. The consolidated financial statements include a liability, based on 50% of the Distributor costs incurred until December 31, 2024. The liability at December 31, 2023 and 2024 is immaterial.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EQUITY</w:t>
      </w:r>
    </w:p>
    <w:p>
      <w:pPr>
        <w:spacing w:after="0" w:line="225" w:lineRule="exact"/>
        <w:rPr>
          <w:sz w:val="20"/>
          <w:szCs w:val="20"/>
          <w:color w:val="auto"/>
        </w:rPr>
      </w:pPr>
    </w:p>
    <w:p>
      <w:pPr>
        <w:ind w:left="1300" w:hanging="320"/>
        <w:spacing w:after="0"/>
        <w:tabs>
          <w:tab w:leader="none" w:pos="130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29" w:lineRule="exact"/>
        <w:rPr>
          <w:rFonts w:ascii="Times New Roman" w:cs="Times New Roman" w:eastAsia="Times New Roman" w:hAnsi="Times New Roman"/>
          <w:sz w:val="18"/>
          <w:szCs w:val="18"/>
          <w:b w:val="1"/>
          <w:bCs w:val="1"/>
          <w:color w:val="auto"/>
        </w:rPr>
      </w:pPr>
    </w:p>
    <w:p>
      <w:pPr>
        <w:ind w:left="1300" w:right="4060"/>
        <w:spacing w:after="0" w:line="50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Company’s shares of common stock are listed on the Nasdaq Capital Market. </w:t>
      </w:r>
      <w:r>
        <w:rPr>
          <w:rFonts w:ascii="Times New Roman" w:cs="Times New Roman" w:eastAsia="Times New Roman" w:hAnsi="Times New Roman"/>
          <w:sz w:val="18"/>
          <w:szCs w:val="18"/>
          <w:i w:val="1"/>
          <w:iCs w:val="1"/>
          <w:color w:val="auto"/>
        </w:rPr>
        <w:t>Private Placement</w:t>
      </w:r>
    </w:p>
    <w:p>
      <w:pPr>
        <w:spacing w:after="0" w:line="1"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12, 2023, the Company entered into a securities purchase agreement (the “Purchase Agreement”) pursuant to which the Company agreed to sell and issue in a private placement (the “Private Placement Offering) an aggregate of 10,266,270 shares (the “Private Placement Shares”) of the Company’s common stock, pre-funded warrants (the “Pre-Funded Warrants”) to purchase up to 15,561,894 shares of common stock and warrants to purchase up to an aggregate of 51,656,328 shares of common stock, consisting of Series H warrants to purchase up to 12,914,086 shares of common stock (the “Series H Warrants”), Series I warrants to purchase up to 12,914,078 shares of common stock (the “Series I Warrants”), Series J warrants to purchase up to 12,914,086 shares of Common Stock (the “Series J Warrants”) and Series K warrants to purchase up to 12,914,078 shares of common stock (the “Series K Warrants” and together with the Series H Warrants, Series I Warrants and Series J Warrants, the “Warrants”), at an offering price of $1.6327 per Private Placement Share and associated Warrants and an offering price of $1.6326 per Pre-Funded Warrant and associated Warrants. The Private Placement Offering closed on May 16, 2023.</w:t>
      </w:r>
    </w:p>
    <w:p>
      <w:pPr>
        <w:spacing w:after="0" w:line="194"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gross proceeds to the Company in respect of the Private Placement Offering were $42.2 million, before deducting fees payable to the placement agent and other offering expenses payable by the Company which amounted to approximately $4.6 million. If the Warrants are exercised in cash in full this would result in an additional $71.4 million of gross proceeds.</w:t>
      </w:r>
    </w:p>
    <w:p>
      <w:pPr>
        <w:spacing w:after="0" w:line="175" w:lineRule="exact"/>
        <w:rPr>
          <w:rFonts w:ascii="Times New Roman" w:cs="Times New Roman" w:eastAsia="Times New Roman" w:hAnsi="Times New Roman"/>
          <w:sz w:val="18"/>
          <w:szCs w:val="18"/>
          <w:b w:val="1"/>
          <w:bCs w:val="1"/>
          <w:color w:val="auto"/>
        </w:rPr>
      </w:pPr>
    </w:p>
    <w:p>
      <w:pPr>
        <w:jc w:val="both"/>
        <w:ind w:left="13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Pre-Funded Warrants are immediately exercisable at an exercise price of $0.0001 per share and will not expire until exercised in full. The Warrants are immediately exercisable upon issuance at an exercise price of $1.3827 per share. The Warrants have a term of the earlier of (i) five years from the date of issuance and (ii) (A) in the case of the Series H Warrants, 20 trading days following the Company’s public release of primary and secondary end points related to one year follow up study results from the Company’s C-Guardians pivotal trial, (B) in the case of the Series I Warrants, 20 trading days following the Company’s announcement of receipt of Premarket Approval (PMA) from the Food and Drug Administration, or FDA, for the CGuard Prime Carotid Stent System (135 cm), (C) in the case of the Series J Warrants, 20 trading days following the Company’s announcement of receipt of FDA approval for the SwitchGuard transcarotid system and CGuard Prime 80 cm and (D) in the case on the Series K Warrants, 20 trading days following the end of the fourth fiscal quarter after the fiscal quarter in which the first commercial sales of the CGuard Carotid Stent System in the United States begin. The Warrants may be exercised on a cashless basis if there is no effective registration statement registering the shares underlying the warrants.</w:t>
      </w:r>
    </w:p>
    <w:p>
      <w:pPr>
        <w:spacing w:after="0" w:line="191"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2024 and 2023, the Company issued a total of 1,728,382 and 307,260 shares of its common stock, respectively, in connection with the exercise of Pre-Funded Warrants to purchase 1,728,390 and 307,271, respectively, shares of common stock of which 200,000 and 307,271, respectively, Pre-Funded Warrants were exercised to 199,992 and 307,260 shares of its common stock on a cashless basis.As of December 31, 2024 and 2023, there are Pre-Funded Warrants to purchase an aggregate of 26,147,323 and 15,254,623, respectively shares of common stock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9" w:name="page100"/>
    <w:bookmarkEnd w:id="99"/>
    <w:p>
      <w:pPr>
        <w:jc w:val="center"/>
        <w:ind w:right="636"/>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0" w:lineRule="exact"/>
        <w:rPr>
          <w:sz w:val="20"/>
          <w:szCs w:val="20"/>
          <w:color w:val="auto"/>
        </w:rPr>
      </w:pPr>
    </w:p>
    <w:p>
      <w:pPr>
        <w:spacing w:after="0" w:line="223"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Pursuant to the full ratchet anti-dilution adjustment provisions in the respective certificate of designation for the Company’s Series C Preferred Stock, the conversion price of the outstanding shares of the Series C Preferred Stock was reduced to $1.3827 per share, effective as of the date of the securities purchase agreement entered for the Offering, and the number of shares of common stock issuable upon conversion of the Series C Preferred Stock increased by 5,668 additional shares of common stock upon conversion of the Series C Preferred Stock, based on 1,718 shares of Series C Preferred Stock outstanding as of May 16, 2023.</w:t>
      </w:r>
    </w:p>
    <w:p>
      <w:pPr>
        <w:spacing w:after="0" w:line="183" w:lineRule="exact"/>
        <w:rPr>
          <w:sz w:val="20"/>
          <w:szCs w:val="20"/>
          <w:color w:val="auto"/>
        </w:rPr>
      </w:pPr>
    </w:p>
    <w:p>
      <w:pPr>
        <w:jc w:val="both"/>
        <w:ind w:left="644" w:right="2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there were 1,718 shares of Series C Preferred Stock outstanding, convertible into an aggregate of 7,952 shares of the Company’s common stock, with a total stated value of $10,997.</w:t>
      </w:r>
    </w:p>
    <w:p>
      <w:pPr>
        <w:spacing w:after="0" w:line="16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i w:val="1"/>
          <w:iCs w:val="1"/>
          <w:color w:val="auto"/>
        </w:rPr>
        <w:t>Exercise of Series H Warrant</w:t>
      </w:r>
    </w:p>
    <w:p>
      <w:pPr>
        <w:spacing w:after="0" w:line="227" w:lineRule="exact"/>
        <w:rPr>
          <w:sz w:val="20"/>
          <w:szCs w:val="20"/>
          <w:color w:val="auto"/>
        </w:rPr>
      </w:pPr>
    </w:p>
    <w:p>
      <w:pPr>
        <w:jc w:val="both"/>
        <w:ind w:left="644"/>
        <w:spacing w:after="0" w:line="266" w:lineRule="auto"/>
        <w:rPr>
          <w:sz w:val="20"/>
          <w:szCs w:val="20"/>
          <w:color w:val="auto"/>
        </w:rPr>
      </w:pPr>
      <w:r>
        <w:rPr>
          <w:rFonts w:ascii="Times New Roman" w:cs="Times New Roman" w:eastAsia="Times New Roman" w:hAnsi="Times New Roman"/>
          <w:sz w:val="18"/>
          <w:szCs w:val="18"/>
          <w:color w:val="auto"/>
        </w:rPr>
        <w:t>The Series H Warrants had a term of the earlier of (i) five years from the date of issuance and (ii) (A) 20 trading days following the Company’s public release of primary and secondary end points related to one year follow up study results from the Company’s C-GUARDIANS pivotal trial.</w:t>
      </w:r>
    </w:p>
    <w:p>
      <w:pPr>
        <w:spacing w:after="0" w:line="176"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Following the announcement on May 28, 2024 of the one year follow up study results from the Company’s C-GUARDIANS pivotal trial, the Series H Warrants were exercised in full into 292,996 shares of common stock and pre-funded warrants exercisable into 12,621,090 shares of common stock. The net proceeds to the Company from the exercise of the Series H Warrants were $16.9 million after deduction of placement agent fees of approximately $1 million. The Series H Warrants, each exercisable at $1.3827 per share of common stock and $1.3826 per pre-funded warrant, were issued as part of the Private Placement Offering.</w:t>
      </w:r>
    </w:p>
    <w:p>
      <w:pPr>
        <w:spacing w:after="0" w:line="181"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i w:val="1"/>
          <w:iCs w:val="1"/>
          <w:color w:val="auto"/>
        </w:rPr>
        <w:t>ATM Offering</w:t>
      </w:r>
    </w:p>
    <w:p>
      <w:pPr>
        <w:spacing w:after="0" w:line="227" w:lineRule="exact"/>
        <w:rPr>
          <w:sz w:val="20"/>
          <w:szCs w:val="20"/>
          <w:color w:val="auto"/>
        </w:rPr>
      </w:pPr>
    </w:p>
    <w:p>
      <w:pPr>
        <w:jc w:val="both"/>
        <w:ind w:left="644"/>
        <w:spacing w:after="0" w:line="255" w:lineRule="auto"/>
        <w:rPr>
          <w:sz w:val="20"/>
          <w:szCs w:val="20"/>
          <w:color w:val="auto"/>
        </w:rPr>
      </w:pPr>
      <w:r>
        <w:rPr>
          <w:rFonts w:ascii="Times New Roman" w:cs="Times New Roman" w:eastAsia="Times New Roman" w:hAnsi="Times New Roman"/>
          <w:sz w:val="18"/>
          <w:szCs w:val="18"/>
          <w:color w:val="auto"/>
        </w:rPr>
        <w:t>On May 31, 2024, the Company entered into an at-the-market (“ATM”) facility with Piper Sandler &amp; Co. (“Piper”) pursuant to an Equity Distribution Agreement (the “Distribution Agreement”). In accordance with the Distribution Agreement, the Company is entitled, at its sole discretion, to offer and sell through or to Piper Sandler, acting as a sales agent, shares of its common stock having an aggregate offering price of up to $17.0 million throughout the period during which the ATM facility remains in effect. The Company has agreed to pay Piper a commission of 3.0% of the gross proceeds from the sale of shares of common stock under the ATM facility. For the year ended December 31, 2024, the net proceeds to the Company from the issuance of 647,277 shares of common stock were $1,598 thousand after deduction of issuance fees of approximately $81 thousand.</w:t>
      </w:r>
    </w:p>
    <w:p>
      <w:pPr>
        <w:spacing w:after="0" w:line="189" w:lineRule="exact"/>
        <w:rPr>
          <w:sz w:val="20"/>
          <w:szCs w:val="20"/>
          <w:color w:val="auto"/>
        </w:rPr>
      </w:pPr>
    </w:p>
    <w:p>
      <w:pPr>
        <w:jc w:val="both"/>
        <w:ind w:left="64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has outstanding warrants to purchase an aggregate of 40,268,464 shares of common stock as follows:</w:t>
      </w:r>
    </w:p>
    <w:p>
      <w:pPr>
        <w:spacing w:after="0" w:line="162" w:lineRule="exact"/>
        <w:rPr>
          <w:sz w:val="20"/>
          <w:szCs w:val="20"/>
          <w:color w:val="auto"/>
        </w:rPr>
      </w:pPr>
    </w:p>
    <w:tbl>
      <w:tblPr>
        <w:tblLayout w:type="fixed"/>
        <w:tblInd w:w="644"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422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underlying</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34"/>
        </w:trPr>
        <w:tc>
          <w:tcPr>
            <w:tcW w:w="4220" w:type="dxa"/>
            <w:vAlign w:val="bottom"/>
          </w:tcPr>
          <w:p>
            <w:pPr>
              <w:spacing w:after="0"/>
              <w:rPr>
                <w:sz w:val="20"/>
                <w:szCs w:val="20"/>
                <w:color w:val="auto"/>
              </w:rPr>
            </w:pPr>
          </w:p>
        </w:tc>
        <w:tc>
          <w:tcPr>
            <w:tcW w:w="17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Exercise price</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191"/>
        </w:trPr>
        <w:tc>
          <w:tcPr>
            <w:tcW w:w="42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rPr>
              <w:t>June 5, 2025-</w:t>
            </w:r>
          </w:p>
        </w:tc>
      </w:tr>
      <w:tr>
        <w:trPr>
          <w:trHeight w:val="23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F Warrants</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433,878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7.4250</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16, 2025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G Warrants</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1,092,344</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10.230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8, 2026</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I Warrants</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12,914,078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Series J Warrants</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12,914,086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K Warrants</w:t>
            </w:r>
          </w:p>
        </w:tc>
        <w:tc>
          <w:tcPr>
            <w:tcW w:w="1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12,914,078</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1.3827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Warrants</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40,268,464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r>
    </w:tbl>
    <w:p>
      <w:pPr>
        <w:spacing w:after="0" w:line="179" w:lineRule="exact"/>
        <w:rPr>
          <w:sz w:val="20"/>
          <w:szCs w:val="20"/>
          <w:color w:val="auto"/>
        </w:rPr>
      </w:pPr>
    </w:p>
    <w:p>
      <w:pPr>
        <w:jc w:val="both"/>
        <w:ind w:left="324" w:hanging="324"/>
        <w:spacing w:after="0" w:line="256" w:lineRule="auto"/>
        <w:tabs>
          <w:tab w:leader="none" w:pos="3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have a term of the earlier of (i) May 15, 2028 and (ii) (A) in the case of the Series I Warrants, 20 trading days following the Company’s announcement of receipt of Premarket Approval from the Food and Drug Administration (“FDA”) for the CGuard Prime Carotid Stent System (135 cm), (B) in the case of the Series J Warrants, 20 trading days following the Company’s announcement of receipt of FDA approval for the SwitchGuard and CGuard Prime 80 and (C) in the case on the Series K Warrants, 20 trading days following the end of the fourth fiscal quarter after the fiscal quarter in which the first commercial sales of the CGuard Carotid Stent System in the United States begins.</w:t>
      </w:r>
    </w:p>
    <w:p>
      <w:pPr>
        <w:spacing w:after="0" w:line="18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During the years ended December 31, 2024 and 2023, a total of 213,458 and 54,135 warrants expired, respectively.</w:t>
      </w:r>
    </w:p>
    <w:p>
      <w:pPr>
        <w:spacing w:after="0" w:line="225"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684"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EQUITY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rFonts w:ascii="Times New Roman" w:cs="Times New Roman" w:eastAsia="Times New Roman" w:hAnsi="Times New Roman"/>
          <w:sz w:val="18"/>
          <w:szCs w:val="18"/>
          <w:b w:val="1"/>
          <w:bCs w:val="1"/>
          <w:color w:val="auto"/>
        </w:rPr>
      </w:pPr>
    </w:p>
    <w:p>
      <w:pPr>
        <w:ind w:left="1620" w:hanging="316"/>
        <w:spacing w:after="0" w:line="282" w:lineRule="auto"/>
        <w:tabs>
          <w:tab w:leader="none" w:pos="16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2021, at the Company’s 2021 annual meeting of stockholders, the Company’s stockholders approved the 2021 Equity Incentive Plan.</w:t>
      </w:r>
    </w:p>
    <w:p>
      <w:pPr>
        <w:spacing w:after="0" w:line="161" w:lineRule="exact"/>
        <w:rPr>
          <w:rFonts w:ascii="Times New Roman" w:cs="Times New Roman" w:eastAsia="Times New Roman" w:hAnsi="Times New Roman"/>
          <w:sz w:val="18"/>
          <w:szCs w:val="18"/>
          <w:color w:val="auto"/>
        </w:rPr>
      </w:pPr>
    </w:p>
    <w:p>
      <w:pPr>
        <w:jc w:val="both"/>
        <w:ind w:left="16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2021 Equity Incentive Plan provides for the granting of incentive stock options, nonqualified stock options, stock appreciation rights, restricted stock, restricted stock units, performance awards, dividend equivalent rights, and other awards, which may be granted singly, in combination, or in tandem.</w:t>
      </w:r>
    </w:p>
    <w:p>
      <w:pPr>
        <w:spacing w:after="0" w:line="175" w:lineRule="exact"/>
        <w:rPr>
          <w:rFonts w:ascii="Times New Roman" w:cs="Times New Roman" w:eastAsia="Times New Roman" w:hAnsi="Times New Roman"/>
          <w:sz w:val="18"/>
          <w:szCs w:val="18"/>
          <w:color w:val="auto"/>
        </w:rPr>
      </w:pPr>
    </w:p>
    <w:p>
      <w:pPr>
        <w:ind w:left="16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we had 9,237,869 shares of common stock available for future issuance under the 2021 Equity Incentive Plan.</w:t>
      </w:r>
    </w:p>
    <w:p>
      <w:pPr>
        <w:spacing w:after="0" w:line="161" w:lineRule="exact"/>
        <w:rPr>
          <w:rFonts w:ascii="Times New Roman" w:cs="Times New Roman" w:eastAsia="Times New Roman" w:hAnsi="Times New Roman"/>
          <w:sz w:val="18"/>
          <w:szCs w:val="18"/>
          <w:color w:val="auto"/>
        </w:rPr>
      </w:pPr>
    </w:p>
    <w:p>
      <w:pPr>
        <w:jc w:val="both"/>
        <w:ind w:left="1300" w:firstLine="4"/>
        <w:spacing w:after="0" w:line="261" w:lineRule="auto"/>
        <w:tabs>
          <w:tab w:leader="none" w:pos="153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30, 2024, the compensation committee of the Company’s board of directors approved the InspireMD, Inc. 2024 Inducement Plan (the “2024 Inducement Plan”) to be used exclusively for grants of equity-based awards to individuals who were not previously employees or directors of the Company, as an inducement material to the individual’s entry into employment with the Company.</w:t>
      </w:r>
    </w:p>
    <w:p>
      <w:pPr>
        <w:spacing w:after="0" w:line="180"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1,957,763 shares of common stock available for future issuance under the 2024 Inducement Plan.</w:t>
      </w:r>
    </w:p>
    <w:p>
      <w:pPr>
        <w:spacing w:after="0" w:line="162"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3)</w:t>
        <w:tab/>
        <w:t>The following table summarizes information about stock options granted to employees: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Number of options</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Number of options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1,379,696</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294,712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777,761</w:t>
            </w:r>
          </w:p>
        </w:tc>
        <w:tc>
          <w:tcPr>
            <w:tcW w:w="120" w:type="dxa"/>
            <w:vAlign w:val="bottom"/>
          </w:tcPr>
          <w:p>
            <w:pPr>
              <w:spacing w:after="0"/>
              <w:rPr>
                <w:sz w:val="18"/>
                <w:szCs w:val="18"/>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3.07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1,097,250</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43"/>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3.54</w:t>
            </w:r>
          </w:p>
        </w:tc>
        <w:tc>
          <w:tcPr>
            <w:tcW w:w="1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(12,266)</w:t>
            </w:r>
          </w:p>
        </w:tc>
        <w:tc>
          <w:tcPr>
            <w:tcW w:w="1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end of period</w:t>
            </w: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vMerge w:val="restart"/>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80" w:type="dxa"/>
            <w:vAlign w:val="bottom"/>
            <w:tcBorders>
              <w:bottom w:val="single" w:sz="8" w:color="CCEEFF"/>
            </w:tcBorders>
            <w:vMerge w:val="continue"/>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2,154,143</w:t>
            </w:r>
          </w:p>
        </w:tc>
        <w:tc>
          <w:tcPr>
            <w:tcW w:w="3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340" w:type="dxa"/>
            <w:vAlign w:val="bottom"/>
            <w:tcBorders>
              <w:bottom w:val="single" w:sz="8" w:color="CCEEFF"/>
            </w:tcBorders>
            <w:vMerge w:val="continue"/>
          </w:tcPr>
          <w:p>
            <w:pPr>
              <w:spacing w:after="0"/>
              <w:rPr>
                <w:sz w:val="20"/>
                <w:szCs w:val="20"/>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1,379,696</w:t>
            </w:r>
          </w:p>
        </w:tc>
        <w:tc>
          <w:tcPr>
            <w:tcW w:w="3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2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Exercisable at the end of the year</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644,882</w:t>
            </w: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w:t>
            </w:r>
          </w:p>
        </w:tc>
        <w:tc>
          <w:tcPr>
            <w:tcW w:w="3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215,709</w:t>
            </w: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F-22</w:t>
            </w:r>
          </w:p>
        </w:tc>
        <w:tc>
          <w:tcPr>
            <w:tcW w:w="13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0" w:type="dxa"/>
            <w:vAlign w:val="bottom"/>
            <w:gridSpan w:val="9"/>
          </w:tcPr>
          <w:p>
            <w:pPr>
              <w:ind w:left="1300"/>
              <w:spacing w:after="0"/>
              <w:rPr>
                <w:sz w:val="20"/>
                <w:szCs w:val="20"/>
                <w:color w:val="auto"/>
              </w:rPr>
            </w:pPr>
            <w:r>
              <w:rPr>
                <w:rFonts w:ascii="Times New Roman" w:cs="Times New Roman" w:eastAsia="Times New Roman" w:hAnsi="Times New Roman"/>
                <w:sz w:val="18"/>
                <w:szCs w:val="18"/>
                <w:color w:val="auto"/>
              </w:rPr>
              <w:t>4)  The following table summarizes information about stock options granted to non-employees: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28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1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2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9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Number of options</w:t>
            </w:r>
          </w:p>
        </w:tc>
        <w:tc>
          <w:tcPr>
            <w:tcW w:w="17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8"/>
              </w:rPr>
              <w:t>Number of options</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beginning of the year</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791,669</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Pr>
          <w:p>
            <w:pPr>
              <w:spacing w:after="0"/>
              <w:rPr>
                <w:sz w:val="19"/>
                <w:szCs w:val="19"/>
                <w:color w:val="auto"/>
              </w:rPr>
            </w:pP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2.37</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625,000</w:t>
            </w:r>
          </w:p>
        </w:tc>
        <w:tc>
          <w:tcPr>
            <w:tcW w:w="12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end of period</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791,669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the end of the year</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387,333</w:t>
            </w:r>
          </w:p>
        </w:tc>
        <w:tc>
          <w:tcPr>
            <w:tcW w:w="3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2.37</w:t>
            </w:r>
          </w:p>
        </w:tc>
        <w:tc>
          <w:tcPr>
            <w:tcW w:w="34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84,667</w:t>
            </w:r>
          </w:p>
        </w:tc>
        <w:tc>
          <w:tcPr>
            <w:tcW w:w="3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5)</w:t>
        <w:tab/>
        <w:t>The following table summarizes information about restricted stock granted to employees:</w:t>
      </w:r>
    </w:p>
    <w:p>
      <w:pPr>
        <w:sectPr>
          <w:pgSz w:w="11900" w:h="16838" w:orient="portrait"/>
          <w:cols w:equalWidth="0" w:num="1">
            <w:col w:w="11240"/>
          </w:cols>
          <w:pgMar w:left="320" w:top="68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Outstanding -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-127635</wp:posOffset>
            </wp:positionV>
            <wp:extent cx="6060440"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8">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5715</wp:posOffset>
            </wp:positionV>
            <wp:extent cx="606044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9">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Outstanding -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-121920</wp:posOffset>
            </wp:positionV>
            <wp:extent cx="6060440"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0">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68"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6)</w:t>
      </w:r>
      <w:r>
        <w:rPr>
          <w:sz w:val="20"/>
          <w:szCs w:val="20"/>
          <w:color w:val="auto"/>
        </w:rPr>
        <w:tab/>
      </w:r>
      <w:r>
        <w:rPr>
          <w:rFonts w:ascii="Times New Roman" w:cs="Times New Roman" w:eastAsia="Times New Roman" w:hAnsi="Times New Roman"/>
          <w:sz w:val="17"/>
          <w:szCs w:val="17"/>
          <w:color w:val="auto"/>
        </w:rPr>
        <w:t>The following table summarizes information about RSUs granted to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Outstanding -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-127635</wp:posOffset>
            </wp:positionV>
            <wp:extent cx="6060440"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1">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Granted</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Outstanding -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-121920</wp:posOffset>
            </wp:positionV>
            <wp:extent cx="6060440"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2">
                      <a:extLst>
                        <a:ext uri="{28A0092B-C50C-407E-A947-70E740481C1C}"/>
                      </a:extLst>
                    </a:blip>
                    <a:srcRect/>
                    <a:stretch>
                      <a:fillRect/>
                    </a:stretch>
                  </pic:blipFill>
                  <pic:spPr bwMode="auto">
                    <a:xfrm>
                      <a:off x="0" y="0"/>
                      <a:ext cx="606044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19685</wp:posOffset>
            </wp:positionV>
            <wp:extent cx="22371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6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234"/>
        </w:trPr>
        <w:tc>
          <w:tcPr>
            <w:tcW w:w="296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Number of restricted stock</w:t>
            </w:r>
          </w:p>
        </w:tc>
      </w:tr>
      <w:tr>
        <w:trPr>
          <w:trHeight w:val="216"/>
        </w:trPr>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3,054,086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355,951</w:t>
            </w:r>
          </w:p>
        </w:tc>
        <w:tc>
          <w:tcPr>
            <w:tcW w:w="60" w:type="dxa"/>
            <w:vAlign w:val="bottom"/>
          </w:tcPr>
          <w:p>
            <w:pPr>
              <w:spacing w:after="0"/>
              <w:rPr>
                <w:sz w:val="18"/>
                <w:szCs w:val="18"/>
                <w:color w:val="auto"/>
              </w:rPr>
            </w:pPr>
          </w:p>
        </w:tc>
      </w:tr>
      <w:tr>
        <w:trPr>
          <w:trHeight w:val="216"/>
        </w:trPr>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2,217,966</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2,914,340</w:t>
            </w:r>
          </w:p>
        </w:tc>
        <w:tc>
          <w:tcPr>
            <w:tcW w:w="60" w:type="dxa"/>
            <w:vAlign w:val="bottom"/>
          </w:tcPr>
          <w:p>
            <w:pPr>
              <w:spacing w:after="0"/>
              <w:rPr>
                <w:sz w:val="18"/>
                <w:szCs w:val="18"/>
                <w:color w:val="auto"/>
              </w:rPr>
            </w:pPr>
          </w:p>
        </w:tc>
      </w:tr>
      <w:tr>
        <w:trPr>
          <w:trHeight w:val="216"/>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(128,660)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(29,695)</w:t>
            </w:r>
          </w:p>
        </w:tc>
      </w:tr>
      <w:tr>
        <w:trPr>
          <w:trHeight w:val="248"/>
        </w:trPr>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(1,069,428)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(186,510)</w:t>
            </w:r>
          </w:p>
        </w:tc>
      </w:tr>
      <w:tr>
        <w:trPr>
          <w:trHeight w:val="223"/>
        </w:trPr>
        <w:tc>
          <w:tcPr>
            <w:tcW w:w="12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4,073,964</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3,054,086</w:t>
            </w:r>
          </w:p>
        </w:tc>
        <w:tc>
          <w:tcPr>
            <w:tcW w:w="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-8255</wp:posOffset>
            </wp:positionV>
            <wp:extent cx="1028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4">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-890905</wp:posOffset>
            </wp:positionV>
            <wp:extent cx="22371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9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19685</wp:posOffset>
            </wp:positionV>
            <wp:extent cx="2237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9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6" w:lineRule="exact"/>
        <w:rPr>
          <w:sz w:val="20"/>
          <w:szCs w:val="20"/>
          <w:color w:val="auto"/>
        </w:rPr>
      </w:pPr>
    </w:p>
    <w:p>
      <w:pPr>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19685</wp:posOffset>
            </wp:positionV>
            <wp:extent cx="22371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97">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Number of RSUs</w:t>
      </w:r>
    </w:p>
    <w:p>
      <w:pPr>
        <w:spacing w:after="0" w:line="23" w:lineRule="exact"/>
        <w:rPr>
          <w:sz w:val="20"/>
          <w:szCs w:val="20"/>
          <w:color w:val="auto"/>
        </w:rPr>
      </w:pPr>
    </w:p>
    <w:p>
      <w:pPr>
        <w:ind w:left="280"/>
        <w:spacing w:after="0"/>
        <w:tabs>
          <w:tab w:leader="none" w:pos="2280" w:val="left"/>
        </w:tabs>
        <w:rPr>
          <w:sz w:val="20"/>
          <w:szCs w:val="20"/>
          <w:color w:val="auto"/>
        </w:rPr>
      </w:pPr>
      <w:r>
        <w:rPr>
          <w:rFonts w:ascii="Times New Roman" w:cs="Times New Roman" w:eastAsia="Times New Roman" w:hAnsi="Times New Roman"/>
          <w:sz w:val="18"/>
          <w:szCs w:val="18"/>
          <w:color w:val="auto"/>
        </w:rPr>
        <w:t>1,282,228</w:t>
      </w:r>
      <w:r>
        <w:rPr>
          <w:sz w:val="20"/>
          <w:szCs w:val="20"/>
          <w:color w:val="auto"/>
        </w:rPr>
        <w:tab/>
      </w:r>
      <w:r>
        <w:rPr>
          <w:rFonts w:ascii="Times New Roman" w:cs="Times New Roman" w:eastAsia="Times New Roman" w:hAnsi="Times New Roman"/>
          <w:sz w:val="18"/>
          <w:szCs w:val="18"/>
          <w:color w:val="auto"/>
        </w:rPr>
        <w:t>237,078</w:t>
      </w:r>
    </w:p>
    <w:p>
      <w:pPr>
        <w:spacing w:after="0" w:line="23" w:lineRule="exact"/>
        <w:rPr>
          <w:sz w:val="20"/>
          <w:szCs w:val="20"/>
          <w:color w:val="auto"/>
        </w:rPr>
      </w:pPr>
    </w:p>
    <w:p>
      <w:pPr>
        <w:ind w:left="400"/>
        <w:spacing w:after="0"/>
        <w:tabs>
          <w:tab w:leader="none" w:pos="2160" w:val="left"/>
        </w:tabs>
        <w:rPr>
          <w:sz w:val="20"/>
          <w:szCs w:val="20"/>
          <w:color w:val="auto"/>
        </w:rPr>
      </w:pPr>
      <w:r>
        <w:rPr>
          <w:rFonts w:ascii="Times New Roman" w:cs="Times New Roman" w:eastAsia="Times New Roman" w:hAnsi="Times New Roman"/>
          <w:sz w:val="18"/>
          <w:szCs w:val="18"/>
          <w:color w:val="auto"/>
        </w:rPr>
        <w:t>563,499</w:t>
      </w:r>
      <w:r>
        <w:rPr>
          <w:sz w:val="20"/>
          <w:szCs w:val="20"/>
          <w:color w:val="auto"/>
        </w:rPr>
        <w:tab/>
      </w:r>
      <w:r>
        <w:rPr>
          <w:rFonts w:ascii="Times New Roman" w:cs="Times New Roman" w:eastAsia="Times New Roman" w:hAnsi="Times New Roman"/>
          <w:sz w:val="18"/>
          <w:szCs w:val="18"/>
          <w:color w:val="auto"/>
        </w:rPr>
        <w:t>1,045,150</w:t>
      </w:r>
    </w:p>
    <w:p>
      <w:pPr>
        <w:spacing w:after="0" w:line="31" w:lineRule="exact"/>
        <w:rPr>
          <w:sz w:val="20"/>
          <w:szCs w:val="20"/>
          <w:color w:val="auto"/>
        </w:rPr>
      </w:pPr>
    </w:p>
    <w:p>
      <w:pPr>
        <w:ind w:left="280"/>
        <w:spacing w:after="0"/>
        <w:tabs>
          <w:tab w:leader="none" w:pos="2160" w:val="left"/>
        </w:tabs>
        <w:rPr>
          <w:sz w:val="20"/>
          <w:szCs w:val="20"/>
          <w:color w:val="auto"/>
        </w:rPr>
      </w:pPr>
      <w:r>
        <w:rPr>
          <w:rFonts w:ascii="Times New Roman" w:cs="Times New Roman" w:eastAsia="Times New Roman" w:hAnsi="Times New Roman"/>
          <w:sz w:val="18"/>
          <w:szCs w:val="18"/>
          <w:color w:val="auto"/>
        </w:rPr>
        <w:t>1,845,727</w:t>
      </w:r>
      <w:r>
        <w:rPr>
          <w:sz w:val="20"/>
          <w:szCs w:val="20"/>
          <w:color w:val="auto"/>
        </w:rPr>
        <w:tab/>
      </w:r>
      <w:r>
        <w:rPr>
          <w:rFonts w:ascii="Times New Roman" w:cs="Times New Roman" w:eastAsia="Times New Roman" w:hAnsi="Times New Roman"/>
          <w:sz w:val="18"/>
          <w:szCs w:val="18"/>
          <w:color w:val="auto"/>
        </w:rPr>
        <w:t>1,282,228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34290</wp:posOffset>
            </wp:positionV>
            <wp:extent cx="22371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98">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80" w:space="480"/>
            <w:col w:w="3380"/>
          </w:cols>
          <w:pgMar w:left="320" w:top="684" w:right="339" w:bottom="0" w:gutter="0" w:footer="0" w:header="0"/>
          <w:type w:val="continuous"/>
        </w:sectPr>
      </w:pPr>
    </w:p>
    <w:p>
      <w:pPr>
        <w:spacing w:after="0" w:line="66"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7)</w:t>
      </w:r>
      <w:r>
        <w:rPr>
          <w:sz w:val="20"/>
          <w:szCs w:val="20"/>
          <w:color w:val="auto"/>
        </w:rPr>
        <w:tab/>
      </w:r>
      <w:r>
        <w:rPr>
          <w:rFonts w:ascii="Times New Roman" w:cs="Times New Roman" w:eastAsia="Times New Roman" w:hAnsi="Times New Roman"/>
          <w:sz w:val="17"/>
          <w:szCs w:val="17"/>
          <w:color w:val="auto"/>
        </w:rPr>
        <w:t>The following table provides additional information about all options outstanding and exercisable:</w:t>
      </w:r>
    </w:p>
    <w:p>
      <w:pPr>
        <w:spacing w:after="0" w:line="262"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2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as of December 31, 2024</w:t>
            </w:r>
          </w:p>
        </w:tc>
      </w:tr>
      <w:tr>
        <w:trPr>
          <w:trHeight w:val="187"/>
        </w:trPr>
        <w:tc>
          <w:tcPr>
            <w:tcW w:w="4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4"/>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3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4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20" w:type="dxa"/>
            <w:vAlign w:val="bottom"/>
            <w:gridSpan w:val="3"/>
          </w:tcPr>
          <w:p>
            <w:pPr>
              <w:ind w:left="18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80" w:type="dxa"/>
            <w:vAlign w:val="bottom"/>
          </w:tcPr>
          <w:p>
            <w:pPr>
              <w:spacing w:after="0"/>
              <w:rPr>
                <w:sz w:val="18"/>
                <w:szCs w:val="18"/>
                <w:color w:val="auto"/>
              </w:rPr>
            </w:pPr>
          </w:p>
        </w:tc>
        <w:tc>
          <w:tcPr>
            <w:tcW w:w="17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238"/>
        </w:trPr>
        <w:tc>
          <w:tcPr>
            <w:tcW w:w="4720" w:type="dxa"/>
            <w:vAlign w:val="bottom"/>
            <w:gridSpan w:val="3"/>
          </w:tcPr>
          <w:p>
            <w:pPr>
              <w:ind w:left="200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6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80" w:type="dxa"/>
            <w:vAlign w:val="bottom"/>
          </w:tcPr>
          <w:p>
            <w:pPr>
              <w:spacing w:after="0"/>
              <w:rPr>
                <w:sz w:val="20"/>
                <w:szCs w:val="20"/>
                <w:color w:val="auto"/>
              </w:rPr>
            </w:pPr>
          </w:p>
        </w:tc>
        <w:tc>
          <w:tcPr>
            <w:tcW w:w="172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r>
      <w:tr>
        <w:trPr>
          <w:trHeight w:val="210"/>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$1.15-3.14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2,686,358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704,641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$3.30-4.12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227,932</w:t>
            </w: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171,052</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$4.95-10.05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152,469</w:t>
            </w:r>
          </w:p>
        </w:tc>
        <w:tc>
          <w:tcPr>
            <w:tcW w:w="17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152,469</w:t>
            </w:r>
          </w:p>
        </w:tc>
      </w:tr>
      <w:tr>
        <w:trPr>
          <w:trHeight w:val="229"/>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$16.50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4,087</w:t>
            </w:r>
          </w:p>
        </w:tc>
        <w:tc>
          <w:tcPr>
            <w:tcW w:w="17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4,053</w:t>
            </w:r>
          </w:p>
        </w:tc>
      </w:tr>
      <w:tr>
        <w:trPr>
          <w:trHeight w:val="223"/>
        </w:trPr>
        <w:tc>
          <w:tcPr>
            <w:tcW w:w="44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3,070,846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1,032,215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weighted average of the remaining contractual life of total vested and exercisable options as of December 31, 2024 was 7.73 years.</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aggregate intrinsic value of the total exercisable options as of December 31, 2024 was approximately $494,250.</w:t>
      </w:r>
    </w:p>
    <w:p>
      <w:pPr>
        <w:spacing w:after="0" w:line="225"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to employees was $2.54 and $1.65 for the years ended December 31, 2024 and 2023, respectively. The weighted average fair value of options granted was estimated using the Black-Scholes option-pricing model.</w:t>
      </w:r>
    </w:p>
    <w:p>
      <w:pPr>
        <w:spacing w:after="0" w:line="162"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options granted to consultants was $1.87 and $1.50 for the years ended December 31, 2024 and 2023, respectively. The weighted average fair value of options granted was estimated using the Black-Scholes option-pricing model.</w:t>
      </w:r>
    </w:p>
    <w:p>
      <w:pPr>
        <w:spacing w:after="0" w:line="162" w:lineRule="exact"/>
        <w:rPr>
          <w:sz w:val="20"/>
          <w:szCs w:val="20"/>
          <w:color w:val="auto"/>
        </w:rPr>
      </w:pPr>
    </w:p>
    <w:p>
      <w:pPr>
        <w:jc w:val="both"/>
        <w:ind w:left="1540"/>
        <w:spacing w:after="0" w:line="282" w:lineRule="auto"/>
        <w:rPr>
          <w:sz w:val="20"/>
          <w:szCs w:val="20"/>
          <w:color w:val="auto"/>
        </w:rPr>
      </w:pPr>
      <w:r>
        <w:rPr>
          <w:rFonts w:ascii="Times New Roman" w:cs="Times New Roman" w:eastAsia="Times New Roman" w:hAnsi="Times New Roman"/>
          <w:sz w:val="18"/>
          <w:szCs w:val="18"/>
          <w:color w:val="auto"/>
        </w:rPr>
        <w:t>The weighted average fair value of restricted stock granted was $2.94 and $1.95 for the years ended December 31, 2024 and 2023, respectively.</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weighted average fair value of RSU granted was $3.14 and $1.76 for the years ended December 31, 2024 and 2023, respectively.</w:t>
      </w:r>
    </w:p>
    <w:p>
      <w:pPr>
        <w:spacing w:after="0" w:line="225"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18"/>
          <w:szCs w:val="18"/>
          <w:color w:val="auto"/>
        </w:rPr>
        <w:t>The vesting period for outstanding stock options, restricted stock, and RSUs is typically three years, with one-third of the awards vesting annually. The options and restricted stock to directors are subject to a one-year vesting period. Additionally, some of our share-based awards to service providers are performance-based, vesting upon the achievement of specified performance criteria related to clinical or marketing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0" w:gutter="0" w:footer="0" w:header="0"/>
          <w:type w:val="continuous"/>
        </w:sectPr>
      </w:pPr>
    </w:p>
    <w:bookmarkStart w:id="102" w:name="page103"/>
    <w:bookmarkEnd w:id="102"/>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ind w:left="500" w:hanging="316"/>
        <w:spacing w:after="0" w:line="282" w:lineRule="auto"/>
        <w:tabs>
          <w:tab w:leader="none" w:pos="5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assumptions that were used in determining the fair value of options granted to employees and consultants for the year December 31, 2024 and 2023:</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304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482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r>
      <w:tr>
        <w:trPr>
          <w:trHeight w:val="20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5.125-10 years</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5.125-6.5 years</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rates</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3.93%-4.44%</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3.58%-4.73%</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91.82%-119.38%</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109.62%-125.61%</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Company does not have sufficient historical exercise data to provide a reasonable basis upon which to estimate expected term. Accordingly, as to ordinary course options granted, the expected term was determined using the simplified method, which takes into consideration the option’s contractual life and the vesting periods (for non-employees, the expected term is equal to the option’s contractual life).</w:t>
      </w:r>
    </w:p>
    <w:p>
      <w:pPr>
        <w:spacing w:after="0" w:line="180"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annual risk-free rates are based on the yield rates of zero coupon non-index linked U.S. Federal Reserve treasury bonds as both the exercise price and the share price are in dollar terms. The Company’s expected volatility is derived from its historical data.</w:t>
      </w:r>
    </w:p>
    <w:p>
      <w:pPr>
        <w:spacing w:after="0" w:line="162" w:lineRule="exact"/>
        <w:rPr>
          <w:sz w:val="20"/>
          <w:szCs w:val="20"/>
          <w:color w:val="auto"/>
        </w:rPr>
      </w:pPr>
    </w:p>
    <w:p>
      <w:pPr>
        <w:jc w:val="both"/>
        <w:ind w:left="500" w:hanging="316"/>
        <w:spacing w:after="0" w:line="261"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total unrecognized compensation cost on employee and non-employee stock options, restricted stock and RSUs, related to unvested stock-based compensation, amounted to approximately $7.29 million. This cost is expected to be recognized over a weighted-average period of approximately 0.85 years. This expected cost does not include the impact of any future stock-based compensation awards.</w:t>
      </w:r>
    </w:p>
    <w:p>
      <w:pPr>
        <w:spacing w:after="0" w:line="179" w:lineRule="exact"/>
        <w:rPr>
          <w:rFonts w:ascii="Times New Roman" w:cs="Times New Roman" w:eastAsia="Times New Roman" w:hAnsi="Times New Roman"/>
          <w:sz w:val="18"/>
          <w:szCs w:val="18"/>
          <w:color w:val="auto"/>
        </w:rPr>
      </w:pPr>
    </w:p>
    <w:p>
      <w:pPr>
        <w:ind w:left="500" w:hanging="316"/>
        <w:spacing w:after="0" w:line="282" w:lineRule="auto"/>
        <w:tabs>
          <w:tab w:leader="none" w:pos="5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allocation of total share-based compensation expense in the consolidated statements of operations:</w:t>
      </w:r>
    </w:p>
    <w:p>
      <w:pPr>
        <w:sectPr>
          <w:pgSz w:w="11900" w:h="16838" w:orient="portrait"/>
          <w:cols w:equalWidth="0" w:num="1">
            <w:col w:w="10120"/>
          </w:cols>
          <w:pgMar w:left="144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Cost of revenues</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0"/>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80"/>
              <w:spacing w:after="0" w:line="191" w:lineRule="exact"/>
              <w:rPr>
                <w:sz w:val="20"/>
                <w:szCs w:val="20"/>
                <w:color w:val="auto"/>
              </w:rPr>
            </w:pPr>
            <w:r>
              <w:rPr>
                <w:rFonts w:ascii="Times New Roman" w:cs="Times New Roman" w:eastAsia="Times New Roman" w:hAnsi="Times New Roman"/>
                <w:sz w:val="18"/>
                <w:szCs w:val="18"/>
                <w:color w:val="auto"/>
              </w:rPr>
              <w:t>256</w:t>
            </w:r>
          </w:p>
        </w:tc>
        <w:tc>
          <w:tcPr>
            <w:tcW w:w="540" w:type="dxa"/>
            <w:vAlign w:val="bottom"/>
          </w:tcPr>
          <w:p>
            <w:pPr>
              <w:jc w:val="right"/>
              <w:ind w:right="3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93</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2,412</w:t>
            </w:r>
          </w:p>
        </w:tc>
        <w:tc>
          <w:tcPr>
            <w:tcW w:w="5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1,025</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6,445</w:t>
            </w:r>
          </w:p>
        </w:tc>
        <w:tc>
          <w:tcPr>
            <w:tcW w:w="5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2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-3768725</wp:posOffset>
            </wp:positionH>
            <wp:positionV relativeFrom="paragraph">
              <wp:posOffset>-744855</wp:posOffset>
            </wp:positionV>
            <wp:extent cx="606044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0">
                      <a:extLst>
                        <a:ext uri="{28A0092B-C50C-407E-A947-70E740481C1C}"/>
                      </a:extLst>
                    </a:blip>
                    <a:srcRect/>
                    <a:stretch>
                      <a:fillRect/>
                    </a:stretch>
                  </pic:blipFill>
                  <pic:spPr bwMode="auto">
                    <a:xfrm>
                      <a:off x="0" y="0"/>
                      <a:ext cx="6060440" cy="145415"/>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-462280</wp:posOffset>
            </wp:positionV>
            <wp:extent cx="606044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1">
                      <a:extLst>
                        <a:ext uri="{28A0092B-C50C-407E-A947-70E740481C1C}"/>
                      </a:extLst>
                    </a:blip>
                    <a:srcRect/>
                    <a:stretch>
                      <a:fillRect/>
                    </a:stretch>
                  </pic:blipFill>
                  <pic:spPr bwMode="auto">
                    <a:xfrm>
                      <a:off x="0" y="0"/>
                      <a:ext cx="6060440" cy="137160"/>
                    </a:xfrm>
                    <a:prstGeom prst="rect">
                      <a:avLst/>
                    </a:prstGeom>
                    <a:noFill/>
                  </pic:spPr>
                </pic:pic>
              </a:graphicData>
            </a:graphic>
          </wp:anchor>
        </w:drawing>
        <w:drawing>
          <wp:anchor simplePos="0" relativeHeight="251657728" behindDoc="1" locked="0" layoutInCell="0" allowOverlap="1">
            <wp:simplePos x="0" y="0"/>
            <wp:positionH relativeFrom="column">
              <wp:posOffset>-3768725</wp:posOffset>
            </wp:positionH>
            <wp:positionV relativeFrom="paragraph">
              <wp:posOffset>-179070</wp:posOffset>
            </wp:positionV>
            <wp:extent cx="6060440" cy="1625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2">
                      <a:extLst>
                        <a:ext uri="{28A0092B-C50C-407E-A947-70E740481C1C}"/>
                      </a:extLst>
                    </a:blip>
                    <a:srcRect/>
                    <a:stretch>
                      <a:fillRect/>
                    </a:stretch>
                  </pic:blipFill>
                  <pic:spPr bwMode="auto">
                    <a:xfrm>
                      <a:off x="0" y="0"/>
                      <a:ext cx="606044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400" w:space="720"/>
            <w:col w:w="4000"/>
          </w:cols>
          <w:pgMar w:left="1440" w:top="684" w:right="339" w:bottom="1440" w:gutter="0" w:footer="0" w:header="0"/>
          <w:type w:val="continuous"/>
        </w:sectPr>
      </w:pPr>
    </w:p>
    <w:p>
      <w:pPr>
        <w:ind w:left="4340"/>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type w:val="continuous"/>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RELATED PARTIES TRANSACTIONS</w:t>
      </w:r>
    </w:p>
    <w:p>
      <w:pPr>
        <w:spacing w:after="0" w:line="229" w:lineRule="exact"/>
        <w:rPr>
          <w:sz w:val="20"/>
          <w:szCs w:val="20"/>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a consulting company whose founder and chief executive officer is one of our board members provided certain marketing services in the amount of $788. No services were provided during the year ended December 31, 2024.</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15, 2023, the board approved the company’s entry into a consultancy agreement (the “Consultancy Agreement”) with a member of the immediate family of the Company’s chief executive officer for certain administrative projects in connection with the Company’s expansion to the U.S. until a full-time Company employee is retained in such capacity. Pursuant to the Consultancy Agreement, the Company will pay a fixed hourly fee of $50 for a maximum of 20 hours per week and customary expenses. On July 1, 2024 the audit committee amended the Consultancy Agreement. Pursuant to the amended Consultancy Agreement, the Company will pay a fixed hourly fee of $100 for a maximum of 95 hours per month in an aggregate amount not to exceed $120,000, including expenses, for the subsequent twelve month period until June 30, 2025.</w:t>
      </w:r>
    </w:p>
    <w:p>
      <w:pPr>
        <w:spacing w:after="0" w:line="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expenses for the years ended December 31, 2024 and 2023, were $75,522 and $11,440, respectively.</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Receive Shares of Common Stock in lieu of Cash Compensation</w:t>
      </w:r>
    </w:p>
    <w:p>
      <w:pPr>
        <w:spacing w:after="0" w:line="22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certain non-employee directors elected to receive all or a portion of their cash retainer amount in shares of the Company’s common stock under the 2021 Equity Incentive Plan. For a director that made that election, a stock award under the 2021 Equity Incentive Plan was paid quarterly on the first day of each next quarter (“Issuance Dates”) and became fully vested on the Issuance Dates. The stock award was determined by dividing (x) the product of the cash retainer amount and percentage of the cash retainer amount elected to be taken in shares by (y) the “Fair Market Value” (as defined in the 2021 Equity Incentive Plan) of a share on the Issuance Dates.</w:t>
      </w:r>
    </w:p>
    <w:p>
      <w:pPr>
        <w:spacing w:after="0" w:line="18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2024, no expenses were recorded in shares of the company.</w:t>
      </w:r>
    </w:p>
    <w:p>
      <w:pPr>
        <w:spacing w:after="0" w:line="225"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the Company issued 52,129 shares of common stock to non-employee directors who elected to receive all or a portion of their cash retainer amount for the nine months ended September 30, 2023 in shares of the Company’s common stock under the 2021 Equity Incentive Plan.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2023, there was an accrual for $55,000 for director’s fees. Out of this an amount of $22,875 was paid in cash and $32,125 was issued in shares of the Company’s common stock under the 2021 Equity Incentive Plan. On January 1, 2024 the Company issued 11,854 shares of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TAXES ON INCOME:</w:t>
      </w:r>
    </w:p>
    <w:p>
      <w:pPr>
        <w:spacing w:after="0" w:line="225" w:lineRule="exact"/>
        <w:rPr>
          <w:sz w:val="20"/>
          <w:szCs w:val="20"/>
          <w:color w:val="auto"/>
        </w:rPr>
      </w:pPr>
    </w:p>
    <w:p>
      <w:pPr>
        <w:ind w:left="1300" w:right="5640" w:hanging="320"/>
        <w:spacing w:after="0" w:line="503" w:lineRule="auto"/>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laws applicable to the Company and its subsidiaries Taxation in the United States</w:t>
      </w: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Inc. is taxed under U.S. tax laws. Accordingly, the applicable federal corporate tax rate in 2024 and 2023 is 21%. The applicable state income tax rate in 2024 and 2023 is 3.42%.</w:t>
      </w:r>
    </w:p>
    <w:p>
      <w:pPr>
        <w:spacing w:after="0" w:line="15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in Israel</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InspiredMD, Ltd is taxed under Israeli tax laws. Accordingly, the applicable corporate tax rate in 2024 and 2023 is 23%.</w:t>
      </w:r>
    </w:p>
    <w:p>
      <w:pPr>
        <w:spacing w:after="0" w:line="22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 in Germany</w:t>
      </w:r>
    </w:p>
    <w:p>
      <w:pPr>
        <w:spacing w:after="0" w:line="229" w:lineRule="exact"/>
        <w:rPr>
          <w:rFonts w:ascii="Times New Roman" w:cs="Times New Roman" w:eastAsia="Times New Roman" w:hAnsi="Times New Roman"/>
          <w:sz w:val="18"/>
          <w:szCs w:val="18"/>
          <w:b w:val="1"/>
          <w:bCs w:val="1"/>
          <w:color w:val="auto"/>
        </w:rPr>
      </w:pPr>
    </w:p>
    <w:p>
      <w:pPr>
        <w:ind w:left="130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InspireMD GmbH is taxed according to the tax laws in Germany. Accordingly, the applicable tax rates are corporate tax rate of 15.825% and trade tax rate of 17.15% in 2024 and 2023</w:t>
      </w:r>
    </w:p>
    <w:p>
      <w:pPr>
        <w:spacing w:after="0" w:line="157"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benefits under the Law for the Encouragement of Capital Investments, 1959 (the “Law”):</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December 29, 2016, the Investment Law was amended (“73 Amendment”), which includes, inter alia, two new tax incentive opportunities. These are the Preferred Technological Enterprise (“PTE”) and Special Preferred Technological Enterprise (“SPTE”). In order to benefit from either of these options, a company must meet certain qualifications and receive formal approval from the Israel Innovation Authority (“IIA”) which allows the company to use the reduced corporate tax rate of 12% on its “Preferred Technological Income” (earned from enterprises located in Development outside of Zone A) in the case of a “preferred technology enterprise”, or 6% on its “preferred technology income” (earned from enterprises located in Development Zone A or outside it) in the case of a “special preferred technology enterprise”. Additionally, any “technology income”, as this term is defined by the Law, not classified as “preferred technology income” is subject to the corporate tax rate.</w:t>
      </w:r>
    </w:p>
    <w:p>
      <w:pPr>
        <w:spacing w:after="0" w:line="191" w:lineRule="exact"/>
        <w:rPr>
          <w:rFonts w:ascii="Times New Roman" w:cs="Times New Roman" w:eastAsia="Times New Roman" w:hAnsi="Times New Roman"/>
          <w:sz w:val="18"/>
          <w:szCs w:val="18"/>
          <w:b w:val="1"/>
          <w:bCs w:val="1"/>
          <w:color w:val="auto"/>
        </w:rPr>
      </w:pPr>
    </w:p>
    <w:p>
      <w:pPr>
        <w:jc w:val="both"/>
        <w:ind w:left="13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Furthermore, according to the provisions regarding “preferred technology enterprise” and “special preferred technology enterprise” in the Law and the regulations thereunder, and to the extent the income is attributable to manufacturing, this income is classified as “preferred income” and is taxed at 7.5% or 16% according to the development zone. To the extent the income is from an intangible asset used for marketing, it is subject to the normal corporate tax rate.</w:t>
      </w:r>
    </w:p>
    <w:p>
      <w:pPr>
        <w:spacing w:after="0" w:line="17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Additionally, when income of a company originating from “preferred technology income” is distributed as dividend to a foreign-resident corporation, tax withholding from the dividend is 4%, provided that 90% or more of that company’s shares are directly held by one or more foreign corporations, and the profits resulted after they acquired the shares.</w:t>
      </w:r>
    </w:p>
    <w:p>
      <w:pPr>
        <w:spacing w:after="0" w:line="171" w:lineRule="exact"/>
        <w:rPr>
          <w:rFonts w:ascii="Times New Roman" w:cs="Times New Roman" w:eastAsia="Times New Roman" w:hAnsi="Times New Roman"/>
          <w:sz w:val="18"/>
          <w:szCs w:val="18"/>
          <w:b w:val="1"/>
          <w:bCs w:val="1"/>
          <w:color w:val="auto"/>
        </w:rPr>
      </w:pPr>
    </w:p>
    <w:p>
      <w:pPr>
        <w:ind w:left="1300" w:hanging="320"/>
        <w:spacing w:after="0"/>
        <w:tabs>
          <w:tab w:leader="none" w:pos="13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Carry forward tax losses</w:t>
      </w:r>
    </w:p>
    <w:p>
      <w:pPr>
        <w:spacing w:after="0" w:line="229"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2024, the Company had a net carry forward tax loss of approximately $60 million, of which approximately $35 million (arising before January 1, 2018), expires until 2038, and approximately $25 million, which does not expire, but is limited to offset 80% of the net income in the year it is utilized.</w:t>
      </w:r>
    </w:p>
    <w:p>
      <w:pPr>
        <w:spacing w:after="0" w:line="176" w:lineRule="exact"/>
        <w:rPr>
          <w:sz w:val="20"/>
          <w:szCs w:val="20"/>
          <w:color w:val="auto"/>
        </w:rPr>
      </w:pPr>
    </w:p>
    <w:p>
      <w:pPr>
        <w:ind w:left="1300"/>
        <w:spacing w:after="0" w:line="282" w:lineRule="auto"/>
        <w:rPr>
          <w:sz w:val="20"/>
          <w:szCs w:val="20"/>
          <w:color w:val="auto"/>
        </w:rPr>
      </w:pPr>
      <w:r>
        <w:rPr>
          <w:rFonts w:ascii="Times New Roman" w:cs="Times New Roman" w:eastAsia="Times New Roman" w:hAnsi="Times New Roman"/>
          <w:sz w:val="18"/>
          <w:szCs w:val="18"/>
          <w:color w:val="auto"/>
        </w:rPr>
        <w:t>Under the U.S. tax laws, for net operating losses (NOLs) arising after December 31, 2017, the Tax Cuts and Jobs Act enacted on December 22, 2017 (the “2017 Act”) limits a taxpayer’s ability to utilize NOL carryforwards to 80% of taxable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7"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In addition, NOLs arising after 2017 can be carried forward indefinitely, but carryback is generally prohibited. NOLs generated in tax years beginning before January 1, 2018, will not be subject to the foregoing taxable income limitation and will continue to have a two-year carryback and twenty-year carryforward period.</w:t>
      </w:r>
    </w:p>
    <w:p>
      <w:pPr>
        <w:spacing w:after="0" w:line="176"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As of December 31, 2024 and 2023, InspireMD Ltd., an Israeli subsidiary, had a net carry forward tax loss of approximately $126 and $107 million. Under Israeli tax laws, the carry forward tax losses can be utilized indefinitely.</w:t>
      </w:r>
    </w:p>
    <w:p>
      <w:pPr>
        <w:spacing w:after="0" w:line="162"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color w:val="auto"/>
        </w:rPr>
        <w:t>The Israeli subsidiary is taxed in New Israeli Shekel (“NIS”), which is different from its functional currency (U.S. Dollar). The change in the Israeli subsidiary NOL’s for tax purposes partly resulted by such rate differences.</w:t>
      </w:r>
    </w:p>
    <w:p>
      <w:pPr>
        <w:spacing w:after="0" w:line="158" w:lineRule="exact"/>
        <w:rPr>
          <w:sz w:val="20"/>
          <w:szCs w:val="20"/>
          <w:color w:val="auto"/>
        </w:rPr>
      </w:pPr>
    </w:p>
    <w:p>
      <w:pPr>
        <w:ind w:left="1300" w:hanging="320"/>
        <w:spacing w:after="0"/>
        <w:tabs>
          <w:tab w:leader="none" w:pos="13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before income taxes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loss before income taxes are as follows:</w:t>
      </w:r>
    </w:p>
    <w:p>
      <w:pPr>
        <w:spacing w:after="0" w:line="235"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4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40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00" w:type="dxa"/>
            <w:vAlign w:val="bottom"/>
            <w:gridSpan w:val="3"/>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taxes on income:</w:t>
            </w:r>
          </w:p>
        </w:tc>
        <w:tc>
          <w:tcPr>
            <w:tcW w:w="19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InspireMD, Inc.</w:t>
            </w:r>
          </w:p>
        </w:tc>
        <w:tc>
          <w:tcPr>
            <w:tcW w:w="2940" w:type="dxa"/>
            <w:vAlign w:val="bottom"/>
            <w:gridSpan w:val="2"/>
          </w:tcPr>
          <w:p>
            <w:pPr>
              <w:jc w:val="right"/>
              <w:ind w:right="8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(10,385)</w:t>
            </w:r>
          </w:p>
        </w:tc>
        <w:tc>
          <w:tcPr>
            <w:tcW w:w="1020" w:type="dxa"/>
            <w:vAlign w:val="bottom"/>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(5,772)</w:t>
            </w:r>
          </w:p>
        </w:tc>
      </w:tr>
      <w:tr>
        <w:trPr>
          <w:trHeight w:val="230"/>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Subsidiaries</w:t>
            </w:r>
          </w:p>
        </w:tc>
        <w:tc>
          <w:tcPr>
            <w:tcW w:w="19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(21,561)</w:t>
            </w:r>
          </w:p>
        </w:tc>
        <w:tc>
          <w:tcPr>
            <w:tcW w:w="102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(14,079)</w:t>
            </w:r>
          </w:p>
        </w:tc>
      </w:tr>
      <w:tr>
        <w:trPr>
          <w:trHeight w:val="223"/>
        </w:trPr>
        <w:tc>
          <w:tcPr>
            <w:tcW w:w="40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20" w:type="dxa"/>
            <w:vAlign w:val="bottom"/>
            <w:tcBorders>
              <w:top w:val="single" w:sz="8" w:color="auto"/>
            </w:tcBorders>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TAXES ON INCOME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1300" w:hanging="320"/>
        <w:spacing w:after="0"/>
        <w:tabs>
          <w:tab w:leader="none" w:pos="130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Current taxes on income</w:t>
      </w:r>
    </w:p>
    <w:p>
      <w:pPr>
        <w:spacing w:after="0" w:line="229"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main reconciling item between the statutory tax rate of the Company and its subsidiaries and the effective tax rate is the change in valuation allowance in respect of tax benefits from carried forward tax losses due to uncertainty of the realization of such tax benefits.</w:t>
      </w:r>
    </w:p>
    <w:p>
      <w:pPr>
        <w:spacing w:after="0" w:line="161"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valuation allowance for the years ended December 31, 2024 and 2023 were as follows:</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Balance at the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-127635</wp:posOffset>
            </wp:positionV>
            <wp:extent cx="6060440" cy="146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06">
                      <a:extLst>
                        <a:ext uri="{28A0092B-C50C-407E-A947-70E740481C1C}"/>
                      </a:extLst>
                    </a:blip>
                    <a:srcRect/>
                    <a:stretch>
                      <a:fillRect/>
                    </a:stretch>
                  </pic:blipFill>
                  <pic:spPr bwMode="auto">
                    <a:xfrm>
                      <a:off x="0" y="0"/>
                      <a:ext cx="6060440" cy="146050"/>
                    </a:xfrm>
                    <a:prstGeom prst="rect">
                      <a:avLst/>
                    </a:prstGeom>
                    <a:noFill/>
                  </pic:spPr>
                </pic:pic>
              </a:graphicData>
            </a:graphic>
          </wp:anchor>
        </w:drawing>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Changes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5715</wp:posOffset>
            </wp:positionV>
            <wp:extent cx="606044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07">
                      <a:extLst>
                        <a:ext uri="{28A0092B-C50C-407E-A947-70E740481C1C}"/>
                      </a:extLst>
                    </a:blip>
                    <a:srcRect/>
                    <a:stretch>
                      <a:fillRect/>
                    </a:stretch>
                  </pic:blipFill>
                  <pic:spPr bwMode="auto">
                    <a:xfrm>
                      <a:off x="0" y="0"/>
                      <a:ext cx="6060440" cy="137160"/>
                    </a:xfrm>
                    <a:prstGeom prst="rect">
                      <a:avLst/>
                    </a:prstGeom>
                    <a:noFill/>
                  </pic:spPr>
                </pic:pic>
              </a:graphicData>
            </a:graphic>
          </wp:anchor>
        </w:drawing>
      </w:r>
    </w:p>
    <w:p>
      <w:pPr>
        <w:ind w:left="1480"/>
        <w:spacing w:after="0"/>
        <w:rPr>
          <w:sz w:val="20"/>
          <w:szCs w:val="20"/>
          <w:color w:val="auto"/>
        </w:rPr>
      </w:pPr>
      <w:r>
        <w:rPr>
          <w:rFonts w:ascii="Times New Roman" w:cs="Times New Roman" w:eastAsia="Times New Roman" w:hAnsi="Times New Roman"/>
          <w:sz w:val="17"/>
          <w:szCs w:val="17"/>
          <w:color w:val="auto"/>
        </w:rPr>
        <w:t>Losses during the year (including foreign exchange rate effect)</w:t>
      </w:r>
    </w:p>
    <w:p>
      <w:pPr>
        <w:spacing w:after="0" w:line="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Balance at the end of the year</w:t>
      </w:r>
    </w:p>
    <w:p>
      <w:pPr>
        <w:spacing w:after="0" w:line="20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4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42,651</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40,071</w:t>
            </w:r>
          </w:p>
        </w:tc>
        <w:tc>
          <w:tcPr>
            <w:tcW w:w="20" w:type="dxa"/>
            <w:vAlign w:val="bottom"/>
          </w:tcPr>
          <w:p>
            <w:pPr>
              <w:spacing w:after="0"/>
              <w:rPr>
                <w:sz w:val="19"/>
                <w:szCs w:val="19"/>
                <w:color w:val="auto"/>
              </w:rPr>
            </w:pPr>
          </w:p>
        </w:tc>
      </w:tr>
      <w:tr>
        <w:trPr>
          <w:trHeight w:val="395"/>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5,779</w:t>
            </w:r>
          </w:p>
        </w:tc>
        <w:tc>
          <w:tcPr>
            <w:tcW w:w="6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2,580</w:t>
            </w:r>
          </w:p>
        </w:tc>
      </w:tr>
      <w:tr>
        <w:trPr>
          <w:trHeight w:val="234"/>
        </w:trPr>
        <w:tc>
          <w:tcPr>
            <w:tcW w:w="360" w:type="dxa"/>
            <w:vAlign w:val="bottom"/>
            <w:gridSpan w:val="2"/>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48,430</w:t>
            </w:r>
          </w:p>
        </w:tc>
        <w:tc>
          <w:tcPr>
            <w:tcW w:w="6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42,651</w:t>
            </w:r>
          </w:p>
        </w:tc>
      </w:tr>
    </w:tbl>
    <w:p>
      <w:pPr>
        <w:sectPr>
          <w:pgSz w:w="11900" w:h="16838" w:orient="portrait"/>
          <w:cols w:equalWidth="0" w:num="2">
            <w:col w:w="6520" w:space="720"/>
            <w:col w:w="4000"/>
          </w:cols>
          <w:pgMar w:left="320" w:top="684" w:right="339" w:bottom="1440" w:gutter="0" w:footer="0" w:header="0"/>
          <w:type w:val="continuous"/>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ind w:left="1300" w:hanging="320"/>
        <w:spacing w:after="0"/>
        <w:tabs>
          <w:tab w:leader="none" w:pos="1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for Uncertain Tax positions</w:t>
      </w:r>
    </w:p>
    <w:p>
      <w:pPr>
        <w:spacing w:after="0" w:line="229"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the total amounts of the Company’s uncertain tax positions during the years ended December 31,</w:t>
      </w:r>
    </w:p>
    <w:p>
      <w:pPr>
        <w:spacing w:after="0" w:line="27"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and 2023:</w:t>
      </w:r>
    </w:p>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6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13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uncertain tax positions taken this year</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w:t>
            </w:r>
          </w:p>
        </w:tc>
        <w:tc>
          <w:tcPr>
            <w:tcW w:w="13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480" w:type="dxa"/>
            <w:vAlign w:val="bottom"/>
            <w:gridSpan w:val="2"/>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225</w:t>
            </w:r>
          </w:p>
        </w:tc>
        <w:tc>
          <w:tcPr>
            <w:tcW w:w="130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168</w:t>
            </w: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open tax years by major jurisdiction is presented below:</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538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2021-2024</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2020-2024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2021-2024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11 - TAXES ON INCOME </w:t>
            </w:r>
            <w:r>
              <w:rPr>
                <w:rFonts w:ascii="Times New Roman" w:cs="Times New Roman" w:eastAsia="Times New Roman" w:hAnsi="Times New Roman"/>
                <w:sz w:val="18"/>
                <w:szCs w:val="18"/>
                <w:color w:val="auto"/>
              </w:rPr>
              <w:t>(continued):</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g.  Deferred income tax:</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vacation and recreation pay</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R&amp;D expenses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1,691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 of use assets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 forward tax losses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41,699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37,342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30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pay, net</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48,430</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42,651</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Less-valuation allowance</w:t>
            </w: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(42,651)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3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SUPPLEMENTARY FINANCIAL STATEMENT INFORMATION:</w:t>
            </w: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8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8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Balance sheets:</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3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300" w:type="dxa"/>
            <w:vAlign w:val="bottom"/>
          </w:tcPr>
          <w:p>
            <w:pPr>
              <w:spacing w:after="0"/>
              <w:rPr>
                <w:sz w:val="18"/>
                <w:szCs w:val="18"/>
                <w:color w:val="auto"/>
              </w:rPr>
            </w:pPr>
          </w:p>
        </w:tc>
        <w:tc>
          <w:tcPr>
            <w:tcW w:w="53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 in thousands)</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0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5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1,914</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1,334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0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5380" w:type="dxa"/>
            <w:vAlign w:val="bottom"/>
            <w:vMerge w:val="restart"/>
          </w:tcPr>
          <w:p>
            <w:pPr>
              <w:ind w:left="4160"/>
              <w:spacing w:after="0"/>
              <w:rPr>
                <w:sz w:val="20"/>
                <w:szCs w:val="20"/>
                <w:color w:val="auto"/>
              </w:rPr>
            </w:pPr>
            <w:r>
              <w:rPr>
                <w:rFonts w:ascii="Times New Roman" w:cs="Times New Roman" w:eastAsia="Times New Roman" w:hAnsi="Times New Roman"/>
                <w:sz w:val="18"/>
                <w:szCs w:val="18"/>
                <w:color w:val="auto"/>
              </w:rPr>
              <w:t>F-28</w:t>
            </w:r>
          </w:p>
        </w:tc>
        <w:tc>
          <w:tcPr>
            <w:tcW w:w="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30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vMerge w:val="continue"/>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SUPPLEMENTARY FINANCIAL STATEMENT INFORMATION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tbl>
      <w:tblPr>
        <w:tblLayout w:type="fixed"/>
        <w:tblInd w:w="78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w:t>
            </w:r>
          </w:p>
        </w:tc>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Accounts payable and accruals-other:</w:t>
            </w: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r>
      <w:tr>
        <w:trPr>
          <w:trHeight w:val="209"/>
        </w:trPr>
        <w:tc>
          <w:tcPr>
            <w:tcW w:w="520" w:type="dxa"/>
            <w:vAlign w:val="bottom"/>
          </w:tcPr>
          <w:p>
            <w:pPr>
              <w:spacing w:after="0"/>
              <w:rPr>
                <w:sz w:val="18"/>
                <w:szCs w:val="18"/>
                <w:color w:val="auto"/>
              </w:rPr>
            </w:pPr>
          </w:p>
        </w:tc>
        <w:tc>
          <w:tcPr>
            <w:tcW w:w="44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 and employee institutions</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3,414</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80" w:type="dxa"/>
            <w:vAlign w:val="bottom"/>
            <w:shd w:val="clear" w:color="auto" w:fill="CCEEFF"/>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Accrued vacation and recreation pay</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369</w:t>
            </w:r>
          </w:p>
        </w:tc>
        <w:tc>
          <w:tcPr>
            <w:tcW w:w="5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1,325</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1,115</w:t>
            </w:r>
          </w:p>
        </w:tc>
      </w:tr>
      <w:tr>
        <w:trPr>
          <w:trHeight w:val="216"/>
        </w:trPr>
        <w:tc>
          <w:tcPr>
            <w:tcW w:w="5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Clinical trial accrual</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519</w:t>
            </w:r>
          </w:p>
        </w:tc>
        <w:tc>
          <w:tcPr>
            <w:tcW w:w="5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744</w:t>
            </w:r>
          </w:p>
        </w:tc>
      </w:tr>
      <w:tr>
        <w:trPr>
          <w:trHeight w:val="216"/>
        </w:trPr>
        <w:tc>
          <w:tcPr>
            <w:tcW w:w="5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5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542</w:t>
            </w: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557</w:t>
            </w:r>
          </w:p>
        </w:tc>
      </w:tr>
      <w:tr>
        <w:trPr>
          <w:trHeight w:val="229"/>
        </w:trPr>
        <w:tc>
          <w:tcPr>
            <w:tcW w:w="5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255</w:t>
            </w:r>
          </w:p>
        </w:tc>
        <w:tc>
          <w:tcPr>
            <w:tcW w:w="5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r>
      <w:tr>
        <w:trPr>
          <w:trHeight w:val="223"/>
        </w:trPr>
        <w:tc>
          <w:tcPr>
            <w:tcW w:w="520" w:type="dxa"/>
            <w:vAlign w:val="bottom"/>
          </w:tcPr>
          <w:p>
            <w:pPr>
              <w:spacing w:after="0"/>
              <w:rPr>
                <w:sz w:val="19"/>
                <w:szCs w:val="19"/>
                <w:color w:val="auto"/>
              </w:rPr>
            </w:pPr>
          </w:p>
        </w:tc>
        <w:tc>
          <w:tcPr>
            <w:tcW w:w="4420" w:type="dxa"/>
            <w:vAlign w:val="bottom"/>
            <w:tcBorders>
              <w:top w:val="single" w:sz="8" w:color="CCEEFF"/>
              <w:bottom w:val="single" w:sz="8" w:color="CCEEFF"/>
            </w:tcBorders>
            <w:shd w:val="clear" w:color="auto" w:fill="CCEEFF"/>
          </w:tcPr>
          <w:p>
            <w:pPr>
              <w:spacing w:after="0"/>
              <w:rPr>
                <w:sz w:val="19"/>
                <w:szCs w:val="19"/>
                <w:color w:val="auto"/>
              </w:rPr>
            </w:pPr>
          </w:p>
        </w:tc>
        <w:tc>
          <w:tcPr>
            <w:tcW w:w="15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DISAGGREGATED REVENUE AND ENTITY WIDE DISCLOSURES: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Revenues are attributed to geographic areas based on the location of the customers. The following is a summary of revenues:</w:t>
      </w:r>
    </w:p>
    <w:p>
      <w:pPr>
        <w:spacing w:after="0" w:line="235" w:lineRule="exact"/>
        <w:rPr>
          <w:sz w:val="20"/>
          <w:szCs w:val="20"/>
          <w:color w:val="auto"/>
        </w:rPr>
      </w:pPr>
    </w:p>
    <w:tbl>
      <w:tblPr>
        <w:tblLayout w:type="fixed"/>
        <w:tblInd w:w="90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tcBorders>
              <w:bottom w:val="single" w:sz="8" w:color="auto"/>
            </w:tcBorders>
            <w:gridSpan w:val="6"/>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5"/>
          </w:tcPr>
          <w:p>
            <w:pPr>
              <w:jc w:val="right"/>
              <w:ind w:right="553"/>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926</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Russia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30"/>
        </w:trPr>
        <w:tc>
          <w:tcPr>
            <w:tcW w:w="400" w:type="dxa"/>
            <w:vAlign w:val="bottom"/>
          </w:tcPr>
          <w:p>
            <w:pPr>
              <w:spacing w:after="0"/>
              <w:rPr>
                <w:sz w:val="19"/>
                <w:szCs w:val="19"/>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4,147</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3,376</w:t>
            </w: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8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countries don’t exceed 10% in the years ended December 2024 and 2023.</w:t>
            </w: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0" w:type="dxa"/>
            <w:vAlign w:val="bottom"/>
            <w:vMerge w:val="continue"/>
          </w:tcPr>
          <w:p>
            <w:pPr>
              <w:spacing w:after="0"/>
              <w:rPr>
                <w:sz w:val="24"/>
                <w:szCs w:val="24"/>
                <w:color w:val="auto"/>
              </w:rPr>
            </w:pPr>
          </w:p>
        </w:tc>
        <w:tc>
          <w:tcPr>
            <w:tcW w:w="5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0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By principal customers (part of revenues):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0" w:type="dxa"/>
            <w:vAlign w:val="bottom"/>
          </w:tcPr>
          <w:p>
            <w:pPr>
              <w:spacing w:after="0"/>
              <w:rPr>
                <w:sz w:val="19"/>
                <w:szCs w:val="19"/>
                <w:color w:val="auto"/>
              </w:rPr>
            </w:pPr>
          </w:p>
        </w:tc>
        <w:tc>
          <w:tcPr>
            <w:tcW w:w="58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98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long-lived assets by geographic region, which consist of property, plant and equipment, net and operating lease right of use assets: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130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9"/>
        </w:trPr>
        <w:tc>
          <w:tcPr>
            <w:tcW w:w="1300" w:type="dxa"/>
            <w:vAlign w:val="bottom"/>
          </w:tcPr>
          <w:p>
            <w:pPr>
              <w:spacing w:after="0"/>
              <w:rPr>
                <w:sz w:val="18"/>
                <w:szCs w:val="18"/>
                <w:color w:val="auto"/>
              </w:rPr>
            </w:pPr>
          </w:p>
        </w:tc>
        <w:tc>
          <w:tcPr>
            <w:tcW w:w="2880" w:type="dxa"/>
            <w:vAlign w:val="bottom"/>
            <w:tcBorders>
              <w:bottom w:val="single" w:sz="8" w:color="CCEEFF"/>
            </w:tcBorders>
          </w:tcPr>
          <w:p>
            <w:pPr>
              <w:spacing w:after="0"/>
              <w:rPr>
                <w:sz w:val="18"/>
                <w:szCs w:val="18"/>
                <w:color w:val="auto"/>
              </w:rPr>
            </w:pPr>
          </w:p>
        </w:tc>
        <w:tc>
          <w:tcPr>
            <w:tcW w:w="30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Israel</w:t>
            </w:r>
          </w:p>
        </w:tc>
        <w:tc>
          <w:tcPr>
            <w:tcW w:w="3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2,750</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1,981</w:t>
            </w:r>
          </w:p>
        </w:tc>
        <w:tc>
          <w:tcPr>
            <w:tcW w:w="5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43"/>
        </w:trPr>
        <w:tc>
          <w:tcPr>
            <w:tcW w:w="1300" w:type="dxa"/>
            <w:vAlign w:val="bottom"/>
          </w:tcPr>
          <w:p>
            <w:pPr>
              <w:spacing w:after="0"/>
              <w:rPr>
                <w:sz w:val="21"/>
                <w:szCs w:val="21"/>
                <w:color w:val="auto"/>
              </w:rPr>
            </w:pPr>
          </w:p>
        </w:tc>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412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4,731</w:t>
            </w:r>
          </w:p>
        </w:tc>
        <w:tc>
          <w:tcPr>
            <w:tcW w:w="5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2,533</w:t>
            </w:r>
          </w:p>
        </w:tc>
        <w:tc>
          <w:tcPr>
            <w:tcW w:w="400" w:type="dxa"/>
            <w:vAlign w:val="bottom"/>
          </w:tcPr>
          <w:p>
            <w:pPr>
              <w:spacing w:after="0"/>
              <w:rPr>
                <w:sz w:val="21"/>
                <w:szCs w:val="21"/>
                <w:color w:val="auto"/>
              </w:rPr>
            </w:pPr>
          </w:p>
        </w:tc>
      </w:tr>
      <w:tr>
        <w:trPr>
          <w:trHeight w:val="20"/>
        </w:trPr>
        <w:tc>
          <w:tcPr>
            <w:tcW w:w="1300" w:type="dxa"/>
            <w:vAlign w:val="bottom"/>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13"/>
        </w:trPr>
        <w:tc>
          <w:tcPr>
            <w:tcW w:w="13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color w:val="auto"/>
              </w:rPr>
              <w:t>F-29</w:t>
            </w: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INSPIREMD,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THE CONSOLIDATED FINANCIAL STATEMENTS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SEGMENT INFORMATION</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has one operating and reporting segment, that develops, manufactures and markets products for the treatment of carotid artery disease and other vascular disease, including the Company’s proprietary CGuard™ stent platform. The Company’s Chief Operating Decision Maker (“CODM”), who is the CEO evaluates the Company’s performance based on its internal reporting which is consistent with the presentation in the Company’s consolidated financial statements. Accordingly, our CODM uses consolidated net loss to measure segment profit or loss, allocate resources, and assess performance.</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CODM examines, within each operational function the employee salaries including the bonus and share based compensation, clinical trials expenses within the research and development operations and certain other expenses.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segment revenue, significant segment expenses, and segment loss.</w:t>
      </w:r>
    </w:p>
    <w:p>
      <w:pPr>
        <w:spacing w:after="0" w:line="235"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19685</wp:posOffset>
            </wp:positionV>
            <wp:extent cx="20999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09">
                      <a:extLst>
                        <a:ext uri="{28A0092B-C50C-407E-A947-70E740481C1C}"/>
                      </a:extLst>
                    </a:blip>
                    <a:srcRect/>
                    <a:stretch>
                      <a:fillRect/>
                    </a:stretch>
                  </pic:blipFill>
                  <pic:spPr bwMode="auto">
                    <a:xfrm>
                      <a:off x="0" y="0"/>
                      <a:ext cx="2099945" cy="8255"/>
                    </a:xfrm>
                    <a:prstGeom prst="rect">
                      <a:avLst/>
                    </a:prstGeom>
                    <a:noFill/>
                  </pic:spPr>
                </pic:pic>
              </a:graphicData>
            </a:graphic>
          </wp:anchor>
        </w:drawing>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2024</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Material and Labor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cost of revenues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Revenues</w:t>
            </w: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5,503</w:t>
            </w:r>
          </w:p>
        </w:tc>
        <w:tc>
          <w:tcPr>
            <w:tcW w:w="2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(R&amp;D)</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Payroll and Benefits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Clinical trials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R&amp;D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Research and development</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and marketing (S&amp;M)</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Payroll and Benefits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S&amp;M</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Selling and marketing</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6,069</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(G&amp;A)</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Payroll and Benefits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26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G&amp;A</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General and administrative</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15,306</w:t>
            </w:r>
          </w:p>
        </w:tc>
        <w:tc>
          <w:tcPr>
            <w:tcW w:w="26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Tax Expenses</w:t>
            </w:r>
          </w:p>
        </w:tc>
        <w:tc>
          <w:tcPr>
            <w:tcW w:w="9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net Loss</w:t>
            </w:r>
          </w:p>
        </w:tc>
        <w:tc>
          <w:tcPr>
            <w:tcW w:w="9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(32,005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SUBSEQUENT EVENTS: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Subsequent to December 31, 2024, the Company granted 2,253,445 restricted shares of the Company’s common stock to employees and directors. The shares to employees are subject to a three-year vesting period, with one-third of such awards vesting each year. The shares to directors are subject to a one-year vesting period.</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Subsequent to December 31, 2024, the Company granted 558,417 restricted share units of the Company’s common stock to the chief executive officer. The shares are subject to a three-year vesting period, with one-third of such awards vesting each year.</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Subsequent to December 31, 2024, the Company granted to employees and directors options to purchase a total of 848,204 shares of the Company’s common stock. The options have an exercise price of $2.76 per share, which was the fair market value of the Company’s common stock on the date of the grant. The options to employees are subject to a three-year vesting period, with one-third of such awards vesting each year. The options to directors are subject to a one-year vesting period.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color w:val="auto"/>
        </w:rPr>
        <w:t>Exhibit 10.68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71750" cy="531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1">
                      <a:extLst>
                        <a:ext uri="{28A0092B-C50C-407E-A947-70E740481C1C}"/>
                      </a:extLst>
                    </a:blip>
                    <a:srcRect/>
                    <a:stretch>
                      <a:fillRect/>
                    </a:stretch>
                  </pic:blipFill>
                  <pic:spPr bwMode="auto">
                    <a:xfrm>
                      <a:off x="0" y="0"/>
                      <a:ext cx="257175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February 12,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Shane Gleason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 Letter of Intent (“LOI”) for Employment at InspireMD,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Shane,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On behalf of InspireMD,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 are pleased to confirm our offer of employment to you for the </w:t>
      </w:r>
      <w:r>
        <w:rPr>
          <w:rFonts w:ascii="Times New Roman" w:cs="Times New Roman" w:eastAsia="Times New Roman" w:hAnsi="Times New Roman"/>
          <w:sz w:val="18"/>
          <w:szCs w:val="18"/>
          <w:b w:val="1"/>
          <w:bCs w:val="1"/>
          <w:u w:val="single" w:color="auto"/>
          <w:color w:val="auto"/>
        </w:rPr>
        <w:t>General Manager: North America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V.P. Global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CEO</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Your Start Date is anticipated to be February 20, 2023, which in all cases shall be after any enforced period of notice or noncompetition with any former employer. General terms of your employment with the Company and, along with the Agreement Regarding Confidentiality, Non-Solicitation, Non-Competition, Non-Recruitment, and Inventions (the “Covenants Agreement”) shall be the governing documents regarding your employment terms once executed, to be provided.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employment terms shall be as follows: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responsible for the leadership of the Americas business including Global Strategic Marketing to include overall strategic planning, oversight of FDA IDE trial results and KOL relationships, commercial and operational planning and leadership. Global responsibilities will include Marketing as well as other strategic initiatives to be defined with CEO.</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be paid an annual base gross salary of $ </w:t>
      </w:r>
      <w:r>
        <w:rPr>
          <w:rFonts w:ascii="Times New Roman" w:cs="Times New Roman" w:eastAsia="Times New Roman" w:hAnsi="Times New Roman"/>
          <w:sz w:val="18"/>
          <w:szCs w:val="18"/>
          <w:b w:val="1"/>
          <w:bCs w:val="1"/>
          <w:color w:val="auto"/>
        </w:rPr>
        <w:t>318,000.</w:t>
      </w:r>
    </w:p>
    <w:p>
      <w:pPr>
        <w:spacing w:after="0" w:line="22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for a yearly gross bonus (the “Bonus”) of 50% of your annual gross salary per the 12-month period subject to the Company’s annual bonus plan in effect for that given year. The 50% assumes 100% achievement of targets. The Bonus shall be paid to you on a yearly basis provided in each case that you are employed on the bonus payment date. For each year, the actual payout is subject to the compensation committee’s sole and absolute discretion and final approval.</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approval of the company’s compensation committee, you will be eligible for the equity awards as an inducement grant equal to 1% of the outstanding shares of common stock of the company (immediately following the completion of the company’s offering that it is currently conducting). If the company’s offering that it is conducting is not completed, then subject to the approval of the company’s compensation committee, you will be eligible for equity awards as an inducement grant equal to 1% of the outstanding shares of common stock of the company (at the time of approval of the grant). In either instance, such equity awards will consist of 75% of the equity awards being granted as restricted shares and with the remaining 25% of the equity awards being granted as stock options, all of which equity awards shall be outside of the 2021 Equity Incentive Plan and subject to terms and conditions of the award agreements to be entered into. Such restricted shares and options will vest in equal portions annually over a three-year period from the date of grant and the exercise price of the options shall be the closing share price of the company’s common stock on the date of grant.</w:t>
      </w:r>
    </w:p>
    <w:p>
      <w:pPr>
        <w:spacing w:after="0" w:line="18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20 vacation days. Vacation days shall be governed by the terms and conditions of the Company’s vacation day policy.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Insurance: Reimbursement of premium of health insurance until a group policy can be provided.</w:t>
      </w:r>
    </w:p>
    <w:p>
      <w:pPr>
        <w:spacing w:after="0" w:line="22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subject to and conditioned on your execution of the Covenants Agreement, attached hereto. Together with the LOI, once executed, the LOI and Covenants Agreement will be the governing agreements for purposes of your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2571750" cy="531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2571750" cy="531495"/>
                    </a:xfrm>
                    <a:prstGeom prst="rect">
                      <a:avLst/>
                    </a:prstGeom>
                    <a:noFill/>
                  </pic:spPr>
                </pic:pic>
              </a:graphicData>
            </a:graphic>
          </wp:anchor>
        </w:drawing>
      </w:r>
    </w:p>
    <w:p>
      <w:pPr>
        <w:jc w:val="both"/>
        <w:spacing w:after="0" w:line="261" w:lineRule="auto"/>
        <w:rPr>
          <w:sz w:val="20"/>
          <w:szCs w:val="20"/>
          <w:color w:val="auto"/>
        </w:rPr>
      </w:pPr>
      <w:r>
        <w:rPr>
          <w:rFonts w:ascii="Times New Roman" w:cs="Times New Roman" w:eastAsia="Times New Roman" w:hAnsi="Times New Roman"/>
          <w:sz w:val="18"/>
          <w:szCs w:val="18"/>
          <w:color w:val="auto"/>
        </w:rPr>
        <w:t>You agree to abide by all governing Company policies and/or procedures. In all cases, your employment shall be “at will” and may be terminated with or without cause immediately upon written notice by either party; provided, however, that you agree to give no less than thirty days of written notice in the event of your resignation. Employee name, we look forward to working with you at the Company. Please sign and date this LOI on the spaces provided below to acknowledge your acceptance thereof.</w:t>
      </w:r>
    </w:p>
    <w:p>
      <w:pPr>
        <w:spacing w:after="0" w:line="18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InspireMD Ltd.</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Marvin Slosman</w:t>
      </w:r>
    </w:p>
    <w:p>
      <w:pPr>
        <w:spacing w:after="0" w:line="38"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8"/>
          <w:szCs w:val="18"/>
          <w:color w:val="auto"/>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agree to and accept employment with InspireMD, Inc. on the terms and conditions set forth in this LOI.</w:t>
      </w:r>
    </w:p>
    <w:p>
      <w:pPr>
        <w:spacing w:after="0" w:line="223" w:lineRule="exact"/>
        <w:rPr>
          <w:sz w:val="20"/>
          <w:szCs w:val="20"/>
          <w:color w:val="auto"/>
        </w:rPr>
      </w:pPr>
    </w:p>
    <w:p>
      <w:pPr>
        <w:ind w:left="1880"/>
        <w:spacing w:after="0"/>
        <w:tabs>
          <w:tab w:leader="none" w:pos="5720" w:val="left"/>
        </w:tabs>
        <w:rPr>
          <w:sz w:val="20"/>
          <w:szCs w:val="20"/>
          <w:color w:val="auto"/>
        </w:rPr>
      </w:pPr>
      <w:r>
        <w:rPr>
          <w:rFonts w:ascii="Times New Roman" w:cs="Times New Roman" w:eastAsia="Times New Roman" w:hAnsi="Times New Roman"/>
          <w:sz w:val="18"/>
          <w:szCs w:val="18"/>
          <w:color w:val="auto"/>
        </w:rPr>
        <w:t>Date: February 12, 2024</w:t>
      </w:r>
      <w:r>
        <w:rPr>
          <w:sz w:val="20"/>
          <w:szCs w:val="20"/>
          <w:color w:val="auto"/>
        </w:rPr>
        <w:tab/>
      </w:r>
      <w:r>
        <w:rPr>
          <w:rFonts w:ascii="Times New Roman" w:cs="Times New Roman" w:eastAsia="Times New Roman" w:hAnsi="Times New Roman"/>
          <w:sz w:val="17"/>
          <w:szCs w:val="17"/>
          <w:i w:val="1"/>
          <w:iCs w:val="1"/>
          <w:color w:val="auto"/>
        </w:rPr>
        <w:t>/s/ Shane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27305</wp:posOffset>
            </wp:positionV>
            <wp:extent cx="34886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15">
                      <a:extLst>
                        <a:ext uri="{28A0092B-C50C-407E-A947-70E740481C1C}"/>
                      </a:extLst>
                    </a:blip>
                    <a:srcRect/>
                    <a:stretch>
                      <a:fillRect/>
                    </a:stretch>
                  </pic:blipFill>
                  <pic:spPr bwMode="auto">
                    <a:xfrm>
                      <a:off x="0" y="0"/>
                      <a:ext cx="3488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1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17">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Insider Trading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provides guidelines with respect to transactions in the securities of InspireMD,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 The Company’s Board of Directors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sz w:val="20"/>
          <w:szCs w:val="20"/>
          <w:color w:val="auto"/>
        </w:rPr>
      </w:pPr>
    </w:p>
    <w:p>
      <w:pPr>
        <w:ind w:left="340" w:hanging="332"/>
        <w:spacing w:after="0"/>
        <w:tabs>
          <w:tab w:leader="none" w:pos="3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Scope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all officers of the Company and its subsidiaries, all members of the Company’s Board of Directors,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 (collectively referred to in this Policy as “Insiders”)</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340" w:hanging="332"/>
        <w:spacing w:after="0"/>
        <w:tabs>
          <w:tab w:leader="none" w:pos="34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Applicable Documents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FOR-056-11 – Insider Trader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1 - GUIDELINES FOR RULE 10B5-1 PLANS</w:t>
      </w:r>
    </w:p>
    <w:p>
      <w:pPr>
        <w:spacing w:after="0" w:line="221" w:lineRule="exact"/>
        <w:rPr>
          <w:sz w:val="20"/>
          <w:szCs w:val="20"/>
          <w:color w:val="auto"/>
        </w:rPr>
      </w:pPr>
    </w:p>
    <w:p>
      <w:pPr>
        <w:ind w:left="340" w:hanging="332"/>
        <w:spacing w:after="0"/>
        <w:tabs>
          <w:tab w:leader="none" w:pos="3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4.1</w:t>
      </w:r>
      <w:r>
        <w:rPr>
          <w:sz w:val="20"/>
          <w:szCs w:val="20"/>
          <w:color w:val="auto"/>
        </w:rPr>
        <w:tab/>
      </w:r>
      <w:r>
        <w:rPr>
          <w:rFonts w:ascii="Times New Roman" w:cs="Times New Roman" w:eastAsia="Times New Roman" w:hAnsi="Times New Roman"/>
          <w:sz w:val="17"/>
          <w:szCs w:val="17"/>
          <w:b w:val="1"/>
          <w:bCs w:val="1"/>
          <w:color w:val="auto"/>
        </w:rPr>
        <w:t>Transactions Subject to the Policy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b w:val="1"/>
          <w:bCs w:val="1"/>
          <w:i w:val="1"/>
          <w:iCs w:val="1"/>
          <w:color w:val="auto"/>
        </w:rPr>
        <w:t>Company Securities</w:t>
      </w:r>
      <w:r>
        <w:rPr>
          <w:rFonts w:ascii="Times New Roman" w:cs="Times New Roman" w:eastAsia="Times New Roman" w:hAnsi="Times New Roman"/>
          <w:sz w:val="18"/>
          <w:szCs w:val="18"/>
          <w:color w:val="auto"/>
        </w:rPr>
        <w:t>”), including the Company’s common stock, options to purchase common stock, preferred stock, warrants, restricted shares or units or any other type of securities that the Company may issue, including (but not limited to), convertible debentures, as well as derivative securities that are not issued by the Company, such as exchange-traded options or swaps relating to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2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0">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Individual Responsibility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 Each individual is responsible for making sure that he or she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w:t>
      </w:r>
      <w:r>
        <w:rPr>
          <w:rFonts w:ascii="Times New Roman" w:cs="Times New Roman" w:eastAsia="Times New Roman" w:hAnsi="Times New Roman"/>
          <w:sz w:val="18"/>
          <w:szCs w:val="18"/>
          <w:i w:val="1"/>
          <w:iCs w:val="1"/>
          <w:color w:val="auto"/>
        </w:rPr>
        <w:t>Consequences of Violations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Administration of the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Chief Financial Officer, shall serve as the Compliance Officer for the purposes of this Policy, and in his absence, the Company’s Chief Executive Officer, or another employee designated by the Compliance Officer shall be responsible for administration of this Policy. All determinations and interpretations by the Compliance Officer shall be final and not subject to further review.</w:t>
      </w:r>
    </w:p>
    <w:p>
      <w:pPr>
        <w:spacing w:after="0" w:line="172"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Statement of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no Insider of the Company (or any other person designated by this Policy or by the Compliance Officer as subject to this Policy) who is aware of material nonpublic information relating to the Company may, directly, or indirectly through Family Members (as defined below) or other persons or entities:</w:t>
      </w:r>
    </w:p>
    <w:p>
      <w:pPr>
        <w:spacing w:after="0" w:line="174" w:lineRule="exact"/>
        <w:rPr>
          <w:sz w:val="20"/>
          <w:szCs w:val="20"/>
          <w:color w:val="auto"/>
        </w:rPr>
      </w:pPr>
    </w:p>
    <w:p>
      <w:pPr>
        <w:ind w:left="980" w:hanging="324"/>
        <w:spacing w:after="0" w:line="284"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w:t>
      </w:r>
      <w:r>
        <w:rPr>
          <w:rFonts w:ascii="Times New Roman" w:cs="Times New Roman" w:eastAsia="Times New Roman" w:hAnsi="Times New Roman"/>
          <w:sz w:val="18"/>
          <w:szCs w:val="18"/>
          <w:i w:val="1"/>
          <w:iCs w:val="1"/>
          <w:color w:val="auto"/>
        </w:rPr>
        <w:t>Transactions Under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Transactions Not Involving a Purchase or Sale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Rule 10b5-1 Plans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or participate in the disclosure of, any information related to the Company’s business, prospects, financial condition or employees by means of an Internet “chat room” or other similar space on the Internet in which either the Company’s business or the value of its securities is discussed or posted.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4" w:name="page115"/>
    <w:bookmarkEnd w:id="114"/>
    <w:tbl>
      <w:tblPr>
        <w:tblLayout w:type="fixed"/>
        <w:tblInd w:w="10" w:type="dxa"/>
        <w:tblCellMar>
          <w:top w:w="0" w:type="dxa"/>
          <w:left w:w="0" w:type="dxa"/>
          <w:bottom w:w="0" w:type="dxa"/>
          <w:right w:w="0" w:type="dxa"/>
        </w:tblCellMar>
      </w:tblPr>
      <w:tr>
        <w:trPr>
          <w:trHeight w:val="742"/>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3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3">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is the policy of the Company that no Insider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Definition of Material Nonpublic Information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Material Information</w:t>
      </w:r>
      <w:r>
        <w:rPr>
          <w:rFonts w:ascii="Times New Roman" w:cs="Times New Roman" w:eastAsia="Times New Roman" w:hAnsi="Times New Roman"/>
          <w:sz w:val="18"/>
          <w:szCs w:val="18"/>
          <w:color w:val="auto"/>
        </w:rPr>
        <w:t>. It is not possible to define all categories of material nonpublic information. However, information should be regarded “material” if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investor would consider that information important in making a decision to buy, hold or sell securities. Any information that could be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84" w:lineRule="exact"/>
        <w:rPr>
          <w:sz w:val="20"/>
          <w:szCs w:val="20"/>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previously announced earnings guidance, or the decision to suspend earnings guidance;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merger, acquisition or tender offer;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acquisition or disposition of a significant asset;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pending or proposed joint venture;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restructuring;</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related party transactions;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dividend policy, the declaration of a stock split, or an offering of additional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borrowings or other financing transactions out of the ordinary course;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repurchase program for Company Securities;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pricing or cost structure;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management;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auditors or notification that the auditor’s reports may no longer be relied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4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26">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process, or service;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or threatened significant litigation, or the resolution of such litigation;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 or the existence of severe liquidity problems;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of a significant customer or supplier;</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ban on trading in Company Securities or the securities of another company;</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News of major clinical or development milestones;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communications to or from regulatory agencies or other significant regulatory developments.</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When Information is Considered Public</w:t>
      </w:r>
      <w:r>
        <w:rPr>
          <w:rFonts w:ascii="Times New Roman" w:cs="Times New Roman" w:eastAsia="Times New Roman" w:hAnsi="Times New Roman"/>
          <w:sz w:val="18"/>
          <w:szCs w:val="18"/>
          <w:color w:val="auto"/>
        </w:rPr>
        <w:t>. To be “public” the information must have been disseminated in a manner designed to reach investors generally,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investors must be given the opportunity to absorb the information.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newswire services or public disclosure filed with the SEC that are available on the SEC’s website. By contrast, information would likely not be considered widely disseminated if it is available only to the Company’s employees, or if it is only available to a select group of analysts, brokers and institutional investors.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afford the investing public with sufficient time to absorb the information. As a general rule, information should not he considered fully absorbed by the marketplace until such information has been publicly known for at least one full Trading Day. lf, for example, the Company were to make an announcement pre-market Monday, you should not trade in Company Securities until market open on Tuesday. Depending on the particular circumstances, the Company may determine that a longer or shorter period should apply to the release of specific material nonpublic information. As used herein, the term “Trading Day” shall mean a day on which the Nasdaq Capital Market (or such other market or exchange on which the Company’s common stock is then listed or traded to the extent such other market or exchange is the principal trading market or exchange for the Company’s common stock) is open for trading.</w:t>
      </w:r>
    </w:p>
    <w:p>
      <w:pPr>
        <w:spacing w:after="0" w:line="18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Transactions by Family Members and Others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i w:val="1"/>
          <w:iCs w:val="1"/>
          <w:color w:val="auto"/>
        </w:rPr>
        <w:t>Family Members</w:t>
      </w:r>
      <w:r>
        <w:rPr>
          <w:rFonts w:ascii="Times New Roman" w:cs="Times New Roman" w:eastAsia="Times New Roman" w:hAnsi="Times New Roman"/>
          <w:sz w:val="18"/>
          <w:szCs w:val="18"/>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6" w:name="page117"/>
    <w:bookmarkEnd w:id="116"/>
    <w:tbl>
      <w:tblPr>
        <w:tblLayout w:type="fixed"/>
        <w:tblInd w:w="10" w:type="dxa"/>
        <w:tblCellMar>
          <w:top w:w="0" w:type="dxa"/>
          <w:left w:w="0" w:type="dxa"/>
          <w:bottom w:w="0" w:type="dxa"/>
          <w:right w:w="0" w:type="dxa"/>
        </w:tblCellMar>
      </w:tblPr>
      <w:tr>
        <w:trPr>
          <w:trHeight w:val="742"/>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5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29">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4.7</w:t>
      </w:r>
      <w:r>
        <w:rPr>
          <w:sz w:val="20"/>
          <w:szCs w:val="20"/>
          <w:color w:val="auto"/>
        </w:rPr>
        <w:tab/>
      </w:r>
      <w:r>
        <w:rPr>
          <w:rFonts w:ascii="Times New Roman" w:cs="Times New Roman" w:eastAsia="Times New Roman" w:hAnsi="Times New Roman"/>
          <w:sz w:val="17"/>
          <w:szCs w:val="17"/>
          <w:b w:val="1"/>
          <w:bCs w:val="1"/>
          <w:color w:val="auto"/>
        </w:rPr>
        <w:t>Transactions by Entities that You Influence or Control</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18"/>
          <w:szCs w:val="18"/>
          <w:b w:val="1"/>
          <w:bCs w:val="1"/>
          <w:i w:val="1"/>
          <w:i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your own account.</w:t>
      </w:r>
    </w:p>
    <w:p>
      <w:pPr>
        <w:spacing w:after="0" w:line="17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4.8</w:t>
      </w:r>
      <w:r>
        <w:rPr>
          <w:sz w:val="20"/>
          <w:szCs w:val="20"/>
          <w:color w:val="auto"/>
        </w:rPr>
        <w:tab/>
      </w:r>
      <w:r>
        <w:rPr>
          <w:rFonts w:ascii="Times New Roman" w:cs="Times New Roman" w:eastAsia="Times New Roman" w:hAnsi="Times New Roman"/>
          <w:sz w:val="17"/>
          <w:szCs w:val="17"/>
          <w:b w:val="1"/>
          <w:bCs w:val="1"/>
          <w:color w:val="auto"/>
        </w:rPr>
        <w:t>Transactions Under Company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except as specifically noted:</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Stock Option Exercises</w:t>
      </w:r>
      <w:r>
        <w:rPr>
          <w:rFonts w:ascii="Times New Roman" w:cs="Times New Roman" w:eastAsia="Times New Roman" w:hAnsi="Times New Roman"/>
          <w:sz w:val="18"/>
          <w:szCs w:val="18"/>
          <w:color w:val="auto"/>
        </w:rPr>
        <w:t>. This Policy does not apply to the exercise of an employee stock option acquired pursuant to the Company’s plans if the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upon exercise are held rather than sold,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Restricted Stock Awards</w:t>
      </w:r>
      <w:r>
        <w:rPr>
          <w:rFonts w:ascii="Times New Roman" w:cs="Times New Roman" w:eastAsia="Times New Roman" w:hAnsi="Times New Roman"/>
          <w:sz w:val="18"/>
          <w:szCs w:val="18"/>
          <w:color w:val="auto"/>
        </w:rPr>
        <w:t>. This Policy does not apply to the vesting of restricted stock, or the exercise of a tax withholding right pursuant to which you elect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have the Company withhold shares of stock to satisfy tax withholding requirements upon the vesting of any restricted stock. The Policy does apply, however, to any market sale of restricted stock.</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401(k) Plan</w:t>
      </w:r>
      <w:r>
        <w:rPr>
          <w:rFonts w:ascii="Times New Roman" w:cs="Times New Roman" w:eastAsia="Times New Roman" w:hAnsi="Times New Roman"/>
          <w:sz w:val="18"/>
          <w:szCs w:val="18"/>
          <w:color w:val="auto"/>
        </w:rPr>
        <w:t>. This Policy does not apply to purchases of Company Securities in a Company 401(k) plan resulting from your periodic contribution of money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your Company stock fund balance; and (d) an election to pre-pay a plan loan if the pre-payment will result in allocation of loan proceeds to the Company stock fund.</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Employee Stock Purchase Plan</w:t>
      </w:r>
      <w:r>
        <w:rPr>
          <w:rFonts w:ascii="Times New Roman" w:cs="Times New Roman" w:eastAsia="Times New Roman" w:hAnsi="Times New Roman"/>
          <w:sz w:val="18"/>
          <w:szCs w:val="18"/>
          <w:color w:val="auto"/>
        </w:rPr>
        <w:t>. This Policy does not apply to purchases of Company Securities in an employee stock purchase plan resulting from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 This Policy does apply, however, to your election to participate in the plan for any enrollment period, and to your sales of Company Securities purchased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6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2">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Dividend Reinvestment Plan</w:t>
      </w:r>
      <w:r>
        <w:rPr>
          <w:rFonts w:ascii="Times New Roman" w:cs="Times New Roman" w:eastAsia="Times New Roman" w:hAnsi="Times New Roman"/>
          <w:sz w:val="18"/>
          <w:szCs w:val="18"/>
          <w:color w:val="auto"/>
        </w:rPr>
        <w:t>. This Policy does not apply to purchases of Company Securities under a Company dividend reinvestment plan resulting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your reinvestment of dividends paid on Company Securities. 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Sale of Shares to Cover Tax Withholdings</w:t>
      </w:r>
      <w:r>
        <w:rPr>
          <w:rFonts w:ascii="Times New Roman" w:cs="Times New Roman" w:eastAsia="Times New Roman" w:hAnsi="Times New Roman"/>
          <w:sz w:val="18"/>
          <w:szCs w:val="18"/>
          <w:color w:val="auto"/>
        </w:rPr>
        <w:t>. The trading restrictions under this Policy do not apply to the sale of shares of common stock issued upon vesting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options, restricted stock units or restricted stock for the limited purpose of covering tax withholding obligations (and any associated broker or other fees) (a “</w:t>
      </w:r>
      <w:r>
        <w:rPr>
          <w:rFonts w:ascii="Times New Roman" w:cs="Times New Roman" w:eastAsia="Times New Roman" w:hAnsi="Times New Roman"/>
          <w:sz w:val="18"/>
          <w:szCs w:val="18"/>
          <w:b w:val="1"/>
          <w:bCs w:val="1"/>
          <w:i w:val="1"/>
          <w:iCs w:val="1"/>
          <w:color w:val="auto"/>
        </w:rPr>
        <w:t>Sell-to-Cover Transaction</w:t>
      </w:r>
      <w:r>
        <w:rPr>
          <w:rFonts w:ascii="Times New Roman" w:cs="Times New Roman" w:eastAsia="Times New Roman" w:hAnsi="Times New Roman"/>
          <w:sz w:val="18"/>
          <w:szCs w:val="18"/>
          <w:color w:val="auto"/>
        </w:rPr>
        <w:t>”), so long as you were not in possession of material nonpublic information in compliance with Rule 10b5-1. Sell-to-Cover Transactions must be strictly limited to the number of securities needed to cover such person’s tax obligations and you may not be permitted to exercise control over the timing of such sales. Sell-to-Cover Transactions must be pre-approved by the Compliance Officer. This exemption does not apply to plans for sales incident to the exercise of option awards.</w:t>
      </w:r>
    </w:p>
    <w:p>
      <w:pPr>
        <w:spacing w:after="0" w:line="18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Other Similar Transactions</w:t>
      </w:r>
      <w:r>
        <w:rPr>
          <w:rFonts w:ascii="Times New Roman" w:cs="Times New Roman" w:eastAsia="Times New Roman" w:hAnsi="Times New Roman"/>
          <w:sz w:val="18"/>
          <w:szCs w:val="18"/>
          <w:color w:val="auto"/>
        </w:rPr>
        <w:t>. Any other purchase of Company Securities from the Company or sales of Company Securities to the Company are not subject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Policy.</w:t>
      </w:r>
    </w:p>
    <w:p>
      <w:pPr>
        <w:spacing w:after="0" w:line="15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4.9</w:t>
      </w:r>
      <w:r>
        <w:rPr>
          <w:sz w:val="20"/>
          <w:szCs w:val="20"/>
          <w:color w:val="auto"/>
        </w:rPr>
        <w:tab/>
      </w:r>
      <w:r>
        <w:rPr>
          <w:rFonts w:ascii="Times New Roman" w:cs="Times New Roman" w:eastAsia="Times New Roman" w:hAnsi="Times New Roman"/>
          <w:sz w:val="17"/>
          <w:szCs w:val="17"/>
          <w:b w:val="1"/>
          <w:bCs w:val="1"/>
          <w:color w:val="auto"/>
        </w:rPr>
        <w:t>Transactions Not Involving a Purchase or Sale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gifts are not transactions subject to this Policy, unless the person making the gift has reason to believe that the recipient intends to sell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Securities while the Insider is aware of material nonpublic information, or the person making the gift is subject to the trading restrictions specified below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 and the sales by the recipient of the Company Securities occur during a blackout period. Further, transactions in mutual funds that are invested in Company Securities are not transactions subject to this Policy.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4.10  Special and Prohibited Transactions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Short-Term Trading</w:t>
      </w:r>
      <w:r>
        <w:rPr>
          <w:rFonts w:ascii="Times New Roman" w:cs="Times New Roman" w:eastAsia="Times New Roman" w:hAnsi="Times New Roman"/>
          <w:sz w:val="18"/>
          <w:szCs w:val="18"/>
          <w:color w:val="auto"/>
        </w:rPr>
        <w:t>. Short-term trading of Company Securities may be distracting to the person and may unduly focus the person on the Company’s short-term stock market performance instead of the Company’s long-term business objectives. For these reasons, any Insider of the Company who purchases Company Securities in the open market may not sell any Company Securities of the same class during the six months following the purchase (or vice versa) unless you first pre-clear the proposed transaction with the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8" w:name="page119"/>
    <w:bookmarkEnd w:id="118"/>
    <w:tbl>
      <w:tblPr>
        <w:tblLayout w:type="fixed"/>
        <w:tblInd w:w="10" w:type="dxa"/>
        <w:tblCellMar>
          <w:top w:w="0" w:type="dxa"/>
          <w:left w:w="0" w:type="dxa"/>
          <w:bottom w:w="0" w:type="dxa"/>
          <w:right w:w="0" w:type="dxa"/>
        </w:tblCellMar>
      </w:tblPr>
      <w:tr>
        <w:trPr>
          <w:trHeight w:val="742"/>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7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5">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Short Sales</w:t>
      </w:r>
      <w:r>
        <w:rPr>
          <w:rFonts w:ascii="Times New Roman" w:cs="Times New Roman" w:eastAsia="Times New Roman" w:hAnsi="Times New Roman"/>
          <w:sz w:val="18"/>
          <w:szCs w:val="18"/>
          <w:color w:val="auto"/>
        </w:rPr>
        <w:t>. No Insider shall engage in a short sale of the Company’s Securities. A short sale is in general a sale of securities not owned by the seller.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 certain put and call options for the Company’s Securities may in some instances constitute a short sale. Short sales of Company Securities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prohibits officers and directors from engaging in short sales at any time that the Company is subject to such section.</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Publicly-Traded Options</w:t>
      </w:r>
      <w:r>
        <w:rPr>
          <w:rFonts w:ascii="Times New Roman" w:cs="Times New Roman" w:eastAsia="Times New Roman" w:hAnsi="Times New Roman"/>
          <w:sz w:val="18"/>
          <w:szCs w:val="18"/>
          <w:color w:val="auto"/>
        </w:rPr>
        <w:t>. Given the relatively short term of publicly-traded options, transactions in options may create the appearance that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employee is trading based on material nonpublic information and focus a director’s, officer’s or other employee’s attention on short-term performance at the expense of the Company’s long- term objectives. Accordingly, transactions in put options, call options or other derivative securities, on an exchange or in any other organized market, by an Insider are prohibited by this Policy. (Option positions arising from certain types of hedging transactions are governed by the paragraph below captioned “</w:t>
      </w:r>
      <w:r>
        <w:rPr>
          <w:rFonts w:ascii="Times New Roman" w:cs="Times New Roman" w:eastAsia="Times New Roman" w:hAnsi="Times New Roman"/>
          <w:sz w:val="18"/>
          <w:szCs w:val="18"/>
          <w:i w:val="1"/>
          <w:iCs w:val="1"/>
          <w:color w:val="auto"/>
        </w:rPr>
        <w:t>Hedging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Hedging Transactions</w:t>
      </w:r>
      <w:r>
        <w:rPr>
          <w:rFonts w:ascii="Times New Roman" w:cs="Times New Roman" w:eastAsia="Times New Roman" w:hAnsi="Times New Roman"/>
          <w:sz w:val="18"/>
          <w:szCs w:val="18"/>
          <w:color w:val="auto"/>
        </w:rPr>
        <w:t>. Hedging or monetization transactions can be accomplished through a number of possible mechanisms, including through the use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such as prepaid variable forwards, equity swaps, collars and exchange funds. Such hedging transactions may permit an Insider to continue to own Company Securities obtained through employee benefit plans or otherwise, but without the full risks and rewards of ownership. When that occurs, the Insider may no longer have the same objectives as the Company’s other shareholders. As a result, these types of transactions are prohibited by Company policy.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Margin Accounts and Pledged Securities</w:t>
      </w:r>
      <w:r>
        <w:rPr>
          <w:rFonts w:ascii="Times New Roman" w:cs="Times New Roman" w:eastAsia="Times New Roman" w:hAnsi="Times New Roman"/>
          <w:sz w:val="18"/>
          <w:szCs w:val="18"/>
          <w:color w:val="auto"/>
        </w:rPr>
        <w:t>. Securities held in a margin account as collateral for a margin loan may be sold by the broker without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Insiders are prohibited from holding Company Securities in a margin account or otherwise pledging Company Securities as collateral for a loan.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Standing and Limit Orders</w:t>
      </w:r>
      <w:r>
        <w:rPr>
          <w:rFonts w:ascii="Times New Roman" w:cs="Times New Roman" w:eastAsia="Times New Roman" w:hAnsi="Times New Roman"/>
          <w:sz w:val="18"/>
          <w:szCs w:val="18"/>
          <w:color w:val="auto"/>
        </w:rPr>
        <w:t>. Standing and limit orders (except standing and limit orders under approved Rule 10b5-1 Plans, as described below) create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19" w:name="page120"/>
    <w:bookmarkEnd w:id="119"/>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8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38">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4.11  Additional Procedures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Pre-Clearance Procedures</w:t>
      </w:r>
      <w:r>
        <w:rPr>
          <w:rFonts w:ascii="Times New Roman" w:cs="Times New Roman" w:eastAsia="Times New Roman" w:hAnsi="Times New Roman"/>
          <w:sz w:val="18"/>
          <w:szCs w:val="18"/>
          <w:color w:val="auto"/>
        </w:rPr>
        <w:t>. All officers, directors and such other persons designated by the Compliance Officer because of their access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financial statements or other material nonpublic information regarding the Company’s performance during annual and quarterly fiscal periods as well as the Family Members and Controlled Entities of such persons (“Designated Insiders”) may not engage in any transaction in Company Securities without first obtaining pre-clearance of the transaction from the Compliance Officer. A request for pre-clearance should be submitted to the Compliance Officer at least one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if the Company is then subject to Section 16. The requestor should also be prepared to comply with SEC Rule 144 and file Form 144, if necessary, at the time of any sale.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Pre-cleared trades must be effected within five business days of receipt of pre-clearance unless an exception is granted. Transactions not effected within such time limit are subject to pre-clearance again.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Quarterly Trading Restrictions</w:t>
      </w:r>
      <w:r>
        <w:rPr>
          <w:rFonts w:ascii="Times New Roman" w:cs="Times New Roman" w:eastAsia="Times New Roman" w:hAnsi="Times New Roman"/>
          <w:sz w:val="18"/>
          <w:szCs w:val="18"/>
          <w:color w:val="auto"/>
        </w:rPr>
        <w:t>. Designated Insiders may not conduct any transactions involving the Company’s Securities (other than as specified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Policy) during a “Blackout Period” beginning at the end of each fiscal quarter and ending at the end of the trading on the next business day after the date of the public release of the Company’s earnings results for that quarter. The sensitivity arises because directors, officers and certain employees involved in the preparation of the financial results will often possess material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0" w:name="page121"/>
    <w:bookmarkEnd w:id="120"/>
    <w:tbl>
      <w:tblPr>
        <w:tblLayout w:type="fixed"/>
        <w:tblInd w:w="10" w:type="dxa"/>
        <w:tblCellMar>
          <w:top w:w="0" w:type="dxa"/>
          <w:left w:w="0" w:type="dxa"/>
          <w:bottom w:w="0" w:type="dxa"/>
          <w:right w:w="0" w:type="dxa"/>
        </w:tblCellMar>
      </w:tblPr>
      <w:tr>
        <w:trPr>
          <w:trHeight w:val="742"/>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Page: 9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1">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u w:val="single" w:color="auto"/>
          <w:color w:val="auto"/>
        </w:rPr>
        <w:t>Event-Specific Trading Restriction Periods</w:t>
      </w:r>
      <w:r>
        <w:rPr>
          <w:rFonts w:ascii="Times New Roman" w:cs="Times New Roman" w:eastAsia="Times New Roman" w:hAnsi="Times New Roman"/>
          <w:sz w:val="18"/>
          <w:szCs w:val="18"/>
          <w:color w:val="auto"/>
        </w:rPr>
        <w:t>. From time to time, an event may occur that is material to the Company and is known by only a few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and/or employees. So long as the event remains material and nonpublic, the Designated Insiders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Exceptions</w:t>
      </w:r>
      <w:r>
        <w:rPr>
          <w:rFonts w:ascii="Times New Roman" w:cs="Times New Roman" w:eastAsia="Times New Roman" w:hAnsi="Times New Roman"/>
          <w:sz w:val="18"/>
          <w:szCs w:val="18"/>
          <w:color w:val="auto"/>
        </w:rPr>
        <w:t>. The quarterly trading restrictions and event-driven trading restrictions do not apply to those transactions to which this Policy does not apply,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under the headings “</w:t>
      </w:r>
      <w:r>
        <w:rPr>
          <w:rFonts w:ascii="Times New Roman" w:cs="Times New Roman" w:eastAsia="Times New Roman" w:hAnsi="Times New Roman"/>
          <w:sz w:val="18"/>
          <w:szCs w:val="18"/>
          <w:i w:val="1"/>
          <w:iCs w:val="1"/>
          <w:color w:val="auto"/>
        </w:rPr>
        <w:t>Transactions Under Company Plans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Transactions Not Involving a Purchase or Sale</w:t>
      </w:r>
      <w:r>
        <w:rPr>
          <w:rFonts w:ascii="Times New Roman" w:cs="Times New Roman" w:eastAsia="Times New Roman" w:hAnsi="Times New Roman"/>
          <w:sz w:val="18"/>
          <w:szCs w:val="18"/>
          <w:color w:val="auto"/>
        </w:rPr>
        <w:t>.” Further, the requirement for pre-clearance, the quarterly trading restrictions and event-driven trading restrictions do not apply to transactions conducted pursuant to approved Rule 10b5-1 plans, described under the heading “</w:t>
      </w:r>
      <w:r>
        <w:rPr>
          <w:rFonts w:ascii="Times New Roman" w:cs="Times New Roman" w:eastAsia="Times New Roman" w:hAnsi="Times New Roman"/>
          <w:sz w:val="18"/>
          <w:szCs w:val="18"/>
          <w:i w:val="1"/>
          <w:iCs w:val="1"/>
          <w:color w:val="auto"/>
        </w:rPr>
        <w:t>Rule 10b5-1 Plans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4.12  Rule 10b5-1 Plans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To comply with the Policy, a Rule 10b5-1 Plan must be approved by the Compliance Officer and meet the requirements of Rule 10b5-1 and the Company’s “Guidelines for Rule 10b5-1 Plans,” which are attached hereto.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for approval five days prior to the entry into the Rule 10b5-1 Plan. No further pre-approval of transactions conducted pursuant to the Rule 10b5-1 Plan will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1" w:name="page122"/>
    <w:bookmarkEnd w:id="121"/>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Page: 10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4">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4.13  Post-Termination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 The pre-clearance procedures specified under the heading “</w:t>
      </w:r>
      <w:r>
        <w:rPr>
          <w:rFonts w:ascii="Times New Roman" w:cs="Times New Roman" w:eastAsia="Times New Roman" w:hAnsi="Times New Roman"/>
          <w:sz w:val="18"/>
          <w:szCs w:val="18"/>
          <w:i w:val="1"/>
          <w:iCs w:val="1"/>
          <w:color w:val="auto"/>
        </w:rPr>
        <w:t>Additional Procedures</w:t>
      </w:r>
      <w:r>
        <w:rPr>
          <w:rFonts w:ascii="Times New Roman" w:cs="Times New Roman" w:eastAsia="Times New Roman" w:hAnsi="Times New Roman"/>
          <w:sz w:val="18"/>
          <w:szCs w:val="18"/>
          <w:color w:val="auto"/>
        </w:rPr>
        <w:t>” above, however, will cease to apply to transactions in Company Securities upon the expiration of any Blackout Period or other Company-imposed trading restrictions applicable at the time of the termination of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4.14  Consequences of Violations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4.15  Company Assistance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Officer, who can be reached by telephone at 972-3-691-7691 or by e-mail at craigs@inspiremd.com.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4.16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w:t>
      </w:r>
    </w:p>
    <w:p>
      <w:pPr>
        <w:spacing w:after="0" w:line="221"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Responsibility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Finance Controllers have the overall responsibility for implementing the Insider Trading Policy, ensuring that all employees sign the Insider Trading Form.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CEO has final approval over any future changes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2" w:name="page123"/>
    <w:bookmarkEnd w:id="122"/>
    <w:tbl>
      <w:tblPr>
        <w:tblLayout w:type="fixed"/>
        <w:tblInd w:w="10" w:type="dxa"/>
        <w:tblCellMar>
          <w:top w:w="0" w:type="dxa"/>
          <w:left w:w="0" w:type="dxa"/>
          <w:bottom w:w="0" w:type="dxa"/>
          <w:right w:w="0" w:type="dxa"/>
        </w:tblCellMar>
      </w:tblPr>
      <w:tr>
        <w:trPr>
          <w:trHeight w:val="742"/>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Page: 11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47">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Appendix 1 - GUIDELINES FOR RULE 10B5-1 PLANS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provides a defense from insider trading liability under Rule 10b-5. In order to be eligible to rely on this defense, a person subject to this Policy must enter into a Rule 10b5-1 plan for transactions in Company Securities (as defined in the Insider Trading Policy) that meets certain conditions specified in the Rule (a “</w:t>
      </w:r>
      <w:r>
        <w:rPr>
          <w:rFonts w:ascii="Times New Roman" w:cs="Times New Roman" w:eastAsia="Times New Roman" w:hAnsi="Times New Roman"/>
          <w:sz w:val="18"/>
          <w:szCs w:val="18"/>
          <w:b w:val="1"/>
          <w:bCs w:val="1"/>
          <w:i w:val="1"/>
          <w:iCs w:val="1"/>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delegate discretion on these matters to an independent third party.</w:t>
      </w:r>
    </w:p>
    <w:p>
      <w:pPr>
        <w:spacing w:after="0" w:line="18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8"/>
          <w:szCs w:val="18"/>
          <w:color w:val="auto"/>
        </w:rPr>
        <w:t>As specified in the Company’s Insider Trading Policy, a Rule 10b5-1 Plan must be approved by the Compliance Officer and meet the requirements of Rule 10b5-1 and these guidelines. Any Rule 10b5-1 Plan must be submitted for approval five days prior to the entry into the Rule 10b5-1 Plan. No further pre-approval of transactions conducted pursuant to the Rule 10b5-1 Plan will be required. The following guidelines apply to all Rule 10b5-1 Plans:</w:t>
      </w:r>
    </w:p>
    <w:p>
      <w:pPr>
        <w:spacing w:after="0" w:line="400" w:lineRule="exact"/>
        <w:rPr>
          <w:sz w:val="20"/>
          <w:szCs w:val="20"/>
          <w:color w:val="auto"/>
        </w:rPr>
      </w:pPr>
    </w:p>
    <w:p>
      <w:pPr>
        <w:jc w:val="both"/>
        <w:ind w:left="980" w:hanging="324"/>
        <w:spacing w:after="0" w:line="257"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enter into, modify or terminate a trading program during a blackout period or while in possession of material nonpublic information. Entering into, modifying, revoking, or early termination of a Rule 10b5-1 Plan must be approved in advance by the Compliance Officer.</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10b5-1 Plans must include a representation certifying that at the time of the adoption or modification: (1) you are not aware of material, nonpublic information about the Company or its securities; and (2) you are adopting the plan in good faith and not as part of a plan or scheme to evade the prohibitions of Rule 10b-5.</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Rule 10b5-1 Plans must have a duration of at least 61 months and no more than 12 years.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Rule 10b5-1 Plan is terminated, you must wait at least 30 days before trading outside of the Rule 10b5-1 Plan.</w:t>
      </w:r>
    </w:p>
    <w:p>
      <w:pPr>
        <w:spacing w:after="0" w:line="9" w:lineRule="exact"/>
        <w:rPr>
          <w:rFonts w:ascii="Times New Roman" w:cs="Times New Roman" w:eastAsia="Times New Roman" w:hAnsi="Times New Roman"/>
          <w:sz w:val="18"/>
          <w:szCs w:val="18"/>
          <w:color w:val="auto"/>
        </w:rPr>
      </w:pPr>
    </w:p>
    <w:p>
      <w:pPr>
        <w:ind w:left="980" w:hanging="324"/>
        <w:spacing w:after="0" w:line="250"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trading program is terminated, you must wait until the end of the current or next Blackout Period (as defined in the Insider Trading Policy), whichever is sooner, before a new Rule 10b5-1 plan may be adopted.</w:t>
      </w:r>
    </w:p>
    <w:p>
      <w:pPr>
        <w:jc w:val="both"/>
        <w:ind w:left="980" w:hanging="324"/>
        <w:spacing w:after="0" w:line="250"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commence sales under a trading program until (i) for directors, officers and other Section 16 insiders, the later of: (1) 90 days after plan adoption; or (2) two (2) business days following the public disclosure of the Company’s annual financial results in a Form 10-K or quarterly financial results in a Form 10-Q (but not to exceed 120 days following plan adoption); and (ii) for individuals not covered by (i), at least 30 days following the date of establishment of a trading program.</w:t>
      </w:r>
    </w:p>
    <w:p>
      <w:pPr>
        <w:spacing w:after="0" w:line="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waiting period requirement described above will apply to any modification to the amount, price or timing of a purchase or sale (including changes to related formulae) under an existing Rule 10b5-1 Plan. Trading under your Rule 10b5-1 Plan will continue pursuant to the original terms of your Rule 10b5-1 Plan until this waiting period has elapsed, at which time the modified Rule 10b5-1 Plan will become effective or the revocation or termination of the plan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3" w:name="page124"/>
    <w:bookmarkEnd w:id="123"/>
    <w:tbl>
      <w:tblPr>
        <w:tblLayout w:type="fixed"/>
        <w:tblInd w:w="10" w:type="dxa"/>
        <w:tblCellMar>
          <w:top w:w="0" w:type="dxa"/>
          <w:left w:w="0" w:type="dxa"/>
          <w:bottom w:w="0" w:type="dxa"/>
          <w:right w:w="0" w:type="dxa"/>
        </w:tblCellMar>
      </w:tblPr>
      <w:tr>
        <w:trPr>
          <w:trHeight w:val="743"/>
        </w:trPr>
        <w:tc>
          <w:tcPr>
            <w:tcW w:w="3620" w:type="dxa"/>
            <w:vAlign w:val="bottom"/>
            <w:tcBorders>
              <w:top w:val="single" w:sz="8" w:color="auto"/>
              <w:left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6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3580" w:type="dxa"/>
            <w:vAlign w:val="bottom"/>
            <w:tcBorders>
              <w:top w:val="single" w:sz="8" w:color="auto"/>
              <w:bottom w:val="single" w:sz="8" w:color="auto"/>
              <w:right w:val="single" w:sz="8" w:color="auto"/>
            </w:tcBorders>
          </w:tcPr>
          <w:p>
            <w:pPr>
              <w:spacing w:after="0"/>
              <w:rPr>
                <w:sz w:val="24"/>
                <w:szCs w:val="24"/>
                <w:color w:val="auto"/>
              </w:rPr>
            </w:pPr>
          </w:p>
        </w:tc>
      </w:tr>
      <w:tr>
        <w:trPr>
          <w:trHeight w:val="232"/>
        </w:trPr>
        <w:tc>
          <w:tcPr>
            <w:tcW w:w="3620" w:type="dxa"/>
            <w:vAlign w:val="bottom"/>
            <w:tcBorders>
              <w:left w:val="single" w:sz="8" w:color="auto"/>
              <w:bottom w:val="single" w:sz="8" w:color="auto"/>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POL- 009-11</w:t>
            </w:r>
          </w:p>
        </w:tc>
        <w:tc>
          <w:tcPr>
            <w:tcW w:w="220" w:type="dxa"/>
            <w:vAlign w:val="bottom"/>
            <w:tcBorders>
              <w:right w:val="single" w:sz="8" w:color="auto"/>
            </w:tcBorders>
          </w:tcPr>
          <w:p>
            <w:pPr>
              <w:spacing w:after="0"/>
              <w:rPr>
                <w:sz w:val="20"/>
                <w:szCs w:val="20"/>
                <w:color w:val="auto"/>
              </w:rPr>
            </w:pPr>
          </w:p>
        </w:tc>
        <w:tc>
          <w:tcPr>
            <w:tcW w:w="3600" w:type="dxa"/>
            <w:vAlign w:val="bottom"/>
            <w:tcBorders>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8"/>
                <w:szCs w:val="18"/>
                <w:color w:val="auto"/>
              </w:rPr>
              <w:t>Rev.: 03</w:t>
            </w:r>
          </w:p>
        </w:tc>
        <w:tc>
          <w:tcPr>
            <w:tcW w:w="220" w:type="dxa"/>
            <w:vAlign w:val="bottom"/>
            <w:tcBorders>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Page: 12 of 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2799715</wp:posOffset>
            </wp:positionH>
            <wp:positionV relativeFrom="paragraph">
              <wp:posOffset>-633730</wp:posOffset>
            </wp:positionV>
            <wp:extent cx="1543050" cy="4629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0">
                      <a:extLst>
                        <a:ext uri="{28A0092B-C50C-407E-A947-70E740481C1C}"/>
                      </a:extLst>
                    </a:blip>
                    <a:srcRect/>
                    <a:stretch>
                      <a:fillRect/>
                    </a:stretch>
                  </pic:blipFill>
                  <pic:spPr bwMode="auto">
                    <a:xfrm>
                      <a:off x="0" y="0"/>
                      <a:ext cx="1543050" cy="462915"/>
                    </a:xfrm>
                    <a:prstGeom prst="rect">
                      <a:avLst/>
                    </a:prstGeom>
                    <a:noFill/>
                  </pic:spPr>
                </pic:pic>
              </a:graphicData>
            </a:graphic>
          </wp:anchor>
        </w:drawing>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3" w:lineRule="exact"/>
        <w:rPr>
          <w:sz w:val="20"/>
          <w:szCs w:val="20"/>
          <w:color w:val="auto"/>
        </w:rPr>
      </w:pPr>
    </w:p>
    <w:p>
      <w:pPr>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permitted revocation or early termination of a Rule 10b5-1 Plan, you may not establish a new Rule 10b5-1 Plan until the commencement of the next open trading window.</w:t>
      </w:r>
    </w:p>
    <w:p>
      <w:pPr>
        <w:ind w:left="980" w:hanging="324"/>
        <w:spacing w:after="0" w:line="260"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have more than one Rule 10b5-1 Plan in effect at any given time (i.e. “</w:t>
      </w:r>
      <w:r>
        <w:rPr>
          <w:rFonts w:ascii="Times New Roman" w:cs="Times New Roman" w:eastAsia="Times New Roman" w:hAnsi="Times New Roman"/>
          <w:sz w:val="18"/>
          <w:szCs w:val="18"/>
          <w:b w:val="1"/>
          <w:bCs w:val="1"/>
          <w:i w:val="1"/>
          <w:iCs w:val="1"/>
          <w:color w:val="auto"/>
        </w:rPr>
        <w:t>multiple overlapping plans</w:t>
      </w:r>
      <w:r>
        <w:rPr>
          <w:rFonts w:ascii="Times New Roman" w:cs="Times New Roman" w:eastAsia="Times New Roman" w:hAnsi="Times New Roman"/>
          <w:sz w:val="18"/>
          <w:szCs w:val="18"/>
          <w:color w:val="auto"/>
        </w:rPr>
        <w:t>”), subject to certain limited exceptions that comport with the requirements of Rule 10b5-1 relating to multiple or overlapping plans.</w:t>
      </w:r>
    </w:p>
    <w:p>
      <w:pPr>
        <w:spacing w:after="0" w:line="181" w:lineRule="exact"/>
        <w:rPr>
          <w:rFonts w:ascii="Times New Roman" w:cs="Times New Roman" w:eastAsia="Times New Roman" w:hAnsi="Times New Roman"/>
          <w:sz w:val="18"/>
          <w:szCs w:val="18"/>
          <w:color w:val="auto"/>
        </w:rPr>
      </w:pPr>
    </w:p>
    <w:p>
      <w:pPr>
        <w:jc w:val="both"/>
        <w:ind w:left="1960" w:hanging="656"/>
        <w:spacing w:after="0" w:line="256" w:lineRule="auto"/>
        <w:tabs>
          <w:tab w:leader="none" w:pos="19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restriction on multiple overlapping plans will not apply to a plan adopted solely and exclusively for the purpose of selling Company Securities in the open market or through a broker to satisfy a person’s tax obligations through a “sell-to-cover” method in connection with the vesting of equity awards (“</w:t>
      </w:r>
      <w:r>
        <w:rPr>
          <w:rFonts w:ascii="Times New Roman" w:cs="Times New Roman" w:eastAsia="Times New Roman" w:hAnsi="Times New Roman"/>
          <w:sz w:val="18"/>
          <w:szCs w:val="18"/>
          <w:b w:val="1"/>
          <w:bCs w:val="1"/>
          <w:i w:val="1"/>
          <w:iCs w:val="1"/>
          <w:color w:val="auto"/>
        </w:rPr>
        <w:t>Sell-to-Cover Plans</w:t>
      </w:r>
      <w:r>
        <w:rPr>
          <w:rFonts w:ascii="Times New Roman" w:cs="Times New Roman" w:eastAsia="Times New Roman" w:hAnsi="Times New Roman"/>
          <w:sz w:val="18"/>
          <w:szCs w:val="18"/>
          <w:color w:val="auto"/>
        </w:rPr>
        <w:t>”). Sales under Sell-to-Cover Plans must be strictly limited to the number of securities needed to cover such person’s tax obligations and the award holder may not be permitted to exercise control over the timing of such sales. This exemption does not apply to plans for sales incident to the exercise of option awards.</w:t>
      </w:r>
    </w:p>
    <w:p>
      <w:pPr>
        <w:spacing w:after="0" w:line="187" w:lineRule="exact"/>
        <w:rPr>
          <w:rFonts w:ascii="Times New Roman" w:cs="Times New Roman" w:eastAsia="Times New Roman" w:hAnsi="Times New Roman"/>
          <w:sz w:val="18"/>
          <w:szCs w:val="18"/>
          <w:color w:val="auto"/>
        </w:rPr>
      </w:pPr>
    </w:p>
    <w:p>
      <w:pPr>
        <w:ind w:left="980" w:hanging="324"/>
        <w:spacing w:after="0" w:line="261"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adopt more than one Rule 10b5-1 Plan to execute a single trade during any consecutive 12-month period, subject to certain limited exceptions that comport with the requirements of Rule 10b5-1. This restriction does not apply to Sell-to-Cover Plans.</w:t>
      </w:r>
    </w:p>
    <w:p>
      <w:pPr>
        <w:ind w:left="980" w:hanging="324"/>
        <w:spacing w:after="0" w:line="250" w:lineRule="auto"/>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director, officer and other Section 16 insider, you must also confirm that all trades made pursuant to the Rule 10b5-1 Plan will be made in accordance with Rule 144 under the Securities Act of 1933, as amended.</w:t>
      </w:r>
    </w:p>
    <w:p>
      <w:pPr>
        <w:ind w:left="980" w:hanging="324"/>
        <w:spacing w:after="0"/>
        <w:tabs>
          <w:tab w:leader="none" w:pos="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engage in any trades of the Company’s securities outside of the Rule 10b5-1 Plan while a plan is in effect.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director, officer and other Section 16 insider understands that the approval or adoption of a pre-planned selling program in no way reduces or eliminates such person’s obligations under Section 16 of the Exchange Act, including such person’s disclosure and short-swing trading liabilities thereunder. If any questions arise, such person should consult with their own counsel in implementing a Rule 10b5-1 Plan. Each director, officer and other Section 16 insider seeking to establish a new Rule 10b5-1 Plan, or amend or modify an existing Rule 10b5-1 Plan, will be required to provide a written representation to the Company certifying that such director or officer (i) will deliver a copy of any such Rule 10b5-1 Plan, including any amendments or modifications thereto, to the Compliance Officer and (ii) consents to the disclosure of the material terms of any such Rule 10b5-1 Plan, including any amendments or modifications thereto, in the Company’s Exchange Act reports.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requirements or plan terms currently contemplated by this Appendix to the the Company’s Insider Trading Policy are exhaustive or limiting on the Company. The Company has the right to require the inclusion of additional provisions in your Rule 10b5-1 Plan designed to protect you and/or the Company, whether before or after the Rule 10b5-1 Plan has been approved by the Compliance Officer, or to delete or amend existing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S-1 (Nos. 333-238247, 333-233432, 333-225680, 333-215682, 333-252199), Form S-3 (Nos. 333-272149, 333-265409, 333-255038, 333-223530) and Form S-8 (Nos. 333-248837, 333-249320, 333-232348, 333-218499, 333-196533, 333-188839, 333-260216, 333-272003, 333-274890, 333-276349, 333-282441) of InspireMD Inc. of our report dated March 12, 2025 relating to the financial statements, which appears in this Form 10-K.</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Tel-Aviv, Israel</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Kesselman &amp; Kesselman</w:t>
            </w:r>
          </w:p>
        </w:tc>
        <w:tc>
          <w:tcPr>
            <w:tcW w:w="3360" w:type="dxa"/>
            <w:vAlign w:val="bottom"/>
          </w:tcPr>
          <w:p>
            <w:pPr>
              <w:spacing w:after="0"/>
              <w:rPr>
                <w:sz w:val="21"/>
                <w:szCs w:val="21"/>
                <w:color w:val="auto"/>
              </w:rPr>
            </w:pPr>
          </w:p>
        </w:tc>
      </w:tr>
      <w:tr>
        <w:trPr>
          <w:trHeight w:val="198"/>
        </w:trPr>
        <w:tc>
          <w:tcPr>
            <w:tcW w:w="2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March 12, 2025</w:t>
            </w: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Certified Public Accountants (Isr.)</w:t>
            </w:r>
          </w:p>
        </w:tc>
        <w:tc>
          <w:tcPr>
            <w:tcW w:w="3360" w:type="dxa"/>
            <w:vAlign w:val="bottom"/>
          </w:tcPr>
          <w:p>
            <w:pPr>
              <w:spacing w:after="0"/>
              <w:rPr>
                <w:sz w:val="17"/>
                <w:szCs w:val="17"/>
                <w:color w:val="auto"/>
              </w:rPr>
            </w:pPr>
          </w:p>
        </w:tc>
      </w:tr>
      <w:tr>
        <w:trPr>
          <w:trHeight w:val="234"/>
        </w:trPr>
        <w:tc>
          <w:tcPr>
            <w:tcW w:w="226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 member of PricewaterhouseCoopers International Limited</w:t>
            </w:r>
          </w:p>
        </w:tc>
        <w:tc>
          <w:tcPr>
            <w:tcW w:w="3360" w:type="dxa"/>
            <w:vAlign w:val="bottom"/>
          </w:tcPr>
          <w:p>
            <w:pPr>
              <w:spacing w:after="0"/>
              <w:rPr>
                <w:sz w:val="20"/>
                <w:szCs w:val="20"/>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Slosman, certify that:</w:t>
      </w:r>
    </w:p>
    <w:p>
      <w:pPr>
        <w:spacing w:after="0" w:line="22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InspireMD,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328"/>
        <w:spacing w:after="0" w:line="282"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Marvin Slosman</w:t>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RULE 13a-14(a)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Shore, certify that:</w:t>
      </w:r>
    </w:p>
    <w:p>
      <w:pPr>
        <w:spacing w:after="0" w:line="225"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InspireMD, Inc. (the “registrant”);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Craig 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Craig Shore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FURNISHED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(18 U.S.C. 1350) and accompanies the Annual Report on Form 10-K (the “Form 10-K”) for the fiscal year ended December 31, 2024 of InspireMD, Inc. (the “Company”). I, Marvin Slosman, the Chief Executive Officer of the Company, certify that, based on my knowledge:</w:t>
      </w:r>
    </w:p>
    <w:p>
      <w:pPr>
        <w:spacing w:after="0" w:line="176"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and for the periods covered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Marvin Slosman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Marvin Slosman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 (Principal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FURNISHED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is furnished solely pursuant to Section 906 of the Sarbanes-Oxley Act of 2002 (18 U.S.C. 1350) and accompanies the Annual Report on Form 10-K (the “Form 10-K”) for the fiscal year ended December 31, 2024 of InspireMD, Inc. (the “Company”). I, Craig Shore, the Chief Financial Officer of the Company, certify that, based on my knowledge:</w:t>
      </w:r>
    </w:p>
    <w:p>
      <w:pPr>
        <w:spacing w:after="0" w:line="176"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10-K fully complies with the requirements of Section 13(a) or Section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10-K fairly presents, in all material respects, the financial condition and results of operations of the Company as of and for the periods covered in this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12, 2025</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Craig Shore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Craig Shore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32061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 (Principal Financial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as an exhibit to the Form 10-K pursuant to Item 601(b)(32) of Regulation S-K and Section 906 of the Sarbanes-Oxley Act of 2002 (subsections (a) and (b) of Section 1350, Chapter 63 of Title 18, United States Code) and, accordingly, is not being filed as part of the Form 10-K for purposes of Section 18 of the Securities Exchange Act of 1934, as amended, and is not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1)"/>
      <w:numFmt w:val="decimal"/>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decimal"/>
      <w:start w:val="1"/>
    </w:lvl>
  </w:abstractNum>
  <w:abstractNum w:abstractNumId="42">
    <w:nsid w:val="7E0C57B1"/>
    <w:multiLevelType w:val="hybridMultilevel"/>
    <w:lvl w:ilvl="0">
      <w:lvlJc w:val="left"/>
      <w:lvlText w:val="%1."/>
      <w:numFmt w:val="decimal"/>
      <w:start w:val="1"/>
    </w:lvl>
    <w:lvl w:ilvl="1">
      <w:lvlJc w:val="left"/>
      <w:lvlText w:val="●"/>
      <w:numFmt w:val="bullet"/>
      <w:start w:val="1"/>
    </w:lvl>
  </w:abstractNum>
  <w:abstractNum w:abstractNumId="43">
    <w:nsid w:val="77AE35EB"/>
    <w:multiLevelType w:val="hybridMultilevel"/>
    <w:lvl w:ilvl="0">
      <w:lvlJc w:val="left"/>
      <w:lvlText w:val="%1."/>
      <w:numFmt w:val="decimal"/>
      <w:start w:val="3"/>
    </w:lvl>
  </w:abstractNum>
  <w:abstractNum w:abstractNumId="44">
    <w:nsid w:val="579BE4F1"/>
    <w:multiLevelType w:val="hybridMultilevel"/>
    <w:lvl w:ilvl="0">
      <w:lvlJc w:val="left"/>
      <w:lvlText w:val="%1"/>
      <w:numFmt w:val="decimal"/>
      <w:start w:val="104"/>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1."/>
      <w:numFmt w:val="lowerLetter"/>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lowerLetter"/>
      <w:start w:val="1"/>
    </w:lvl>
  </w:abstractNum>
  <w:abstractNum w:abstractNumId="49">
    <w:nsid w:val="1DBABF00"/>
    <w:multiLevelType w:val="hybridMultilevel"/>
    <w:lvl w:ilvl="0">
      <w:lvlJc w:val="left"/>
      <w:lvlText w:val="%1."/>
      <w:numFmt w:val="lowerLetter"/>
      <w:start w:val="2"/>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lowerLetter"/>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lowerLetter"/>
      <w:start w:val="2"/>
    </w:lvl>
    <w:lvl w:ilvl="1">
      <w:lvlJc w:val="left"/>
      <w:lvlText w:val="%2)"/>
      <w:numFmt w:val="decimal"/>
      <w:start w:val="1"/>
    </w:lvl>
  </w:abstractNum>
  <w:abstractNum w:abstractNumId="54">
    <w:nsid w:val="100F8FCA"/>
    <w:multiLevelType w:val="hybridMultilevel"/>
    <w:lvl w:ilvl="0">
      <w:lvlJc w:val="left"/>
      <w:lvlText w:val="%1)"/>
      <w:numFmt w:val="decimal"/>
      <w:start w:val="8"/>
    </w:lvl>
  </w:abstractNum>
  <w:abstractNum w:abstractNumId="55">
    <w:nsid w:val="6590700B"/>
    <w:multiLevelType w:val="hybridMultilevel"/>
    <w:lvl w:ilvl="0">
      <w:lvlJc w:val="left"/>
      <w:lvlText w:val="%1)"/>
      <w:numFmt w:val="decimal"/>
      <w:start w:val="9"/>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lowerLetter"/>
      <w:start w:val="1"/>
    </w:lvl>
  </w:abstractNum>
  <w:abstractNum w:abstractNumId="58">
    <w:nsid w:val="98A3148"/>
    <w:multiLevelType w:val="hybridMultilevel"/>
    <w:lvl w:ilvl="0">
      <w:lvlJc w:val="left"/>
      <w:lvlText w:val="%1."/>
      <w:numFmt w:val="lowerLetter"/>
      <w:start w:val="4"/>
    </w:lvl>
  </w:abstractNum>
  <w:abstractNum w:abstractNumId="59">
    <w:nsid w:val="799D0247"/>
    <w:multiLevelType w:val="hybridMultilevel"/>
    <w:lvl w:ilvl="0">
      <w:lvlJc w:val="left"/>
      <w:lvlText w:val="%1."/>
      <w:numFmt w:val="lowerLetter"/>
      <w:start w:val="5"/>
    </w:lvl>
  </w:abstractNum>
  <w:abstractNum w:abstractNumId="60">
    <w:nsid w:val="6B94764"/>
    <w:multiLevelType w:val="hybridMultilevel"/>
    <w:lvl w:ilvl="0">
      <w:lvlJc w:val="left"/>
      <w:lvlText w:val="%1."/>
      <w:numFmt w:val="lowerLetter"/>
      <w:start w:val="6"/>
    </w:lvl>
  </w:abstractNum>
  <w:abstractNum w:abstractNumId="61">
    <w:nsid w:val="42C296BD"/>
    <w:multiLevelType w:val="hybridMultilevel"/>
    <w:lvl w:ilvl="0">
      <w:lvlJc w:val="left"/>
      <w:lvlText w:val="%1."/>
      <w:numFmt w:val="decimal"/>
      <w:start w:val="1"/>
    </w:lvl>
  </w:abstractNum>
  <w:abstractNum w:abstractNumId="62">
    <w:nsid w:val="168E121F"/>
    <w:multiLevelType w:val="hybridMultilevel"/>
    <w:lvl w:ilvl="0">
      <w:lvlJc w:val="left"/>
      <w:lvlText w:val="1"/>
      <w:numFmt w:val="bullet"/>
      <w:start w:val="1"/>
    </w:lvl>
  </w:abstractNum>
  <w:abstractNum w:abstractNumId="63">
    <w:nsid w:val="1EBA5D23"/>
    <w:multiLevelType w:val="hybridMultilevel"/>
    <w:lvl w:ilvl="0">
      <w:lvlJc w:val="left"/>
      <w:lvlText w:val="2"/>
      <w:numFmt w:val="bullet"/>
      <w:start w:val="1"/>
    </w:lvl>
  </w:abstractNum>
  <w:abstractNum w:abstractNumId="64">
    <w:nsid w:val="661E3F1E"/>
    <w:multiLevelType w:val="hybridMultilevel"/>
    <w:lvl w:ilvl="0">
      <w:lvlJc w:val="left"/>
      <w:lvlText w:val="3"/>
      <w:numFmt w:val="bullet"/>
      <w:start w:val="1"/>
    </w:lvl>
  </w:abstractNum>
  <w:abstractNum w:abstractNumId="65">
    <w:nsid w:val="5DC79EA8"/>
    <w:multiLevelType w:val="hybridMultilevel"/>
    <w:lvl w:ilvl="0">
      <w:lvlJc w:val="left"/>
      <w:lvlText w:val="4"/>
      <w:numFmt w:val="bullet"/>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
      <w:numFmt w:val="bullet"/>
      <w:start w:val="1"/>
    </w:lvl>
  </w:abstractNum>
  <w:abstractNum w:abstractNumId="69">
    <w:nsid w:val="613EFDC5"/>
    <w:multiLevelType w:val="hybridMultilevel"/>
    <w:lvl w:ilvl="0">
      <w:lvlJc w:val="left"/>
      <w:lvlText w:val="5"/>
      <w:numFmt w:val="bullet"/>
      <w:start w:val="1"/>
    </w:lvl>
  </w:abstractNum>
  <w:abstractNum w:abstractNumId="70">
    <w:nsid w:val="BF72B14"/>
    <w:multiLevelType w:val="hybridMultilevel"/>
    <w:lvl w:ilvl="0">
      <w:lvlJc w:val="left"/>
      <w:lvlText w:val="●"/>
      <w:numFmt w:val="bullet"/>
      <w:start w:val="1"/>
    </w:lvl>
  </w:abstractNum>
  <w:abstractNum w:abstractNumId="71">
    <w:nsid w:val="11447B73"/>
    <w:multiLevelType w:val="hybridMultilevel"/>
    <w:lvl w:ilvl="0">
      <w:lvlJc w:val="left"/>
      <w:lvlText w:val="●"/>
      <w:numFmt w:val="bullet"/>
      <w:start w:val="1"/>
    </w:lvl>
    <w:lvl w:ilvl="1">
      <w:lvlJc w:val="left"/>
      <w:lvlText w:val="○"/>
      <w:numFmt w:val="bullet"/>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1)"/>
      <w:numFmt w:val="lowerLetter"/>
      <w:start w:val="1"/>
    </w:lvl>
  </w:abstractNum>
  <w:abstractNum w:abstractNumId="74">
    <w:nsid w:val="8F2B15E"/>
    <w:multiLevelType w:val="hybridMultilevel"/>
    <w:lvl w:ilvl="0">
      <w:lvlJc w:val="left"/>
      <w:lvlText w:val="%1."/>
      <w:numFmt w:val="decimal"/>
      <w:start w:val="5"/>
    </w:lvl>
  </w:abstractNum>
  <w:abstractNum w:abstractNumId="75">
    <w:nsid w:val="1A32234B"/>
    <w:multiLevelType w:val="hybridMultilevel"/>
    <w:lvl w:ilvl="0">
      <w:lvlJc w:val="left"/>
      <w:lvlText w:val="%1)"/>
      <w:numFmt w:val="lowerLetter"/>
      <w:start w:val="1"/>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decimal"/>
      <w:start w:val="5"/>
    </w:lvl>
  </w:abstractNum>
  <w:abstractNum w:abstractNumId="79">
    <w:nsid w:val="60B6DF70"/>
    <w:multiLevelType w:val="hybridMultilevel"/>
    <w:lvl w:ilvl="0">
      <w:lvlJc w:val="left"/>
      <w:lvlText w:val="%1)"/>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44" Type="http://schemas.openxmlformats.org/officeDocument/2006/relationships/image" Target="media/image77.png"/><Relationship Id="rId168" Type="http://schemas.openxmlformats.org/officeDocument/2006/relationships/image" Target="media/image78.png"/><Relationship Id="rId169" Type="http://schemas.openxmlformats.org/officeDocument/2006/relationships/image" Target="media/image79.jpeg"/><Relationship Id="rId170" Type="http://schemas.openxmlformats.org/officeDocument/2006/relationships/image" Target="media/image80.png"/><Relationship Id="rId171" Type="http://schemas.openxmlformats.org/officeDocument/2006/relationships/image" Target="media/image81.png"/><Relationship Id="rId172" Type="http://schemas.openxmlformats.org/officeDocument/2006/relationships/image" Target="media/image82.png"/><Relationship Id="rId173" Type="http://schemas.openxmlformats.org/officeDocument/2006/relationships/image" Target="media/image83.png"/><Relationship Id="rId174" Type="http://schemas.openxmlformats.org/officeDocument/2006/relationships/image" Target="media/image84.png"/><Relationship Id="rId175" Type="http://schemas.openxmlformats.org/officeDocument/2006/relationships/image" Target="media/image85.png"/><Relationship Id="rId176" Type="http://schemas.openxmlformats.org/officeDocument/2006/relationships/image" Target="media/image86.png"/><Relationship Id="rId177" Type="http://schemas.openxmlformats.org/officeDocument/2006/relationships/image" Target="media/image87.png"/><Relationship Id="rId178" Type="http://schemas.openxmlformats.org/officeDocument/2006/relationships/image" Target="media/image88.png"/><Relationship Id="rId179" Type="http://schemas.openxmlformats.org/officeDocument/2006/relationships/image" Target="media/image89.png"/><Relationship Id="rId180" Type="http://schemas.openxmlformats.org/officeDocument/2006/relationships/image" Target="media/image90.png"/><Relationship Id="rId181" Type="http://schemas.openxmlformats.org/officeDocument/2006/relationships/image" Target="media/image91.png"/><Relationship Id="rId182" Type="http://schemas.openxmlformats.org/officeDocument/2006/relationships/image" Target="media/image92.png"/><Relationship Id="rId183" Type="http://schemas.openxmlformats.org/officeDocument/2006/relationships/image" Target="media/image93.png"/><Relationship Id="rId184" Type="http://schemas.openxmlformats.org/officeDocument/2006/relationships/image" Target="media/image94.png"/><Relationship Id="rId185" Type="http://schemas.openxmlformats.org/officeDocument/2006/relationships/image" Target="media/image95.png"/><Relationship Id="rId186" Type="http://schemas.openxmlformats.org/officeDocument/2006/relationships/image" Target="media/image96.png"/><Relationship Id="rId187" Type="http://schemas.openxmlformats.org/officeDocument/2006/relationships/image" Target="media/image97.png"/><Relationship Id="rId188" Type="http://schemas.openxmlformats.org/officeDocument/2006/relationships/image" Target="media/image98.png"/><Relationship Id="rId189" Type="http://schemas.openxmlformats.org/officeDocument/2006/relationships/image" Target="media/image99.png"/><Relationship Id="rId190" Type="http://schemas.openxmlformats.org/officeDocument/2006/relationships/image" Target="media/image100.png"/><Relationship Id="rId191" Type="http://schemas.openxmlformats.org/officeDocument/2006/relationships/image" Target="media/image101.png"/><Relationship Id="rId192" Type="http://schemas.openxmlformats.org/officeDocument/2006/relationships/image" Target="media/image102.png"/><Relationship Id="rId193" Type="http://schemas.openxmlformats.org/officeDocument/2006/relationships/image" Target="media/image103.png"/><Relationship Id="rId194" Type="http://schemas.openxmlformats.org/officeDocument/2006/relationships/image" Target="media/image104.png"/><Relationship Id="rId195" Type="http://schemas.openxmlformats.org/officeDocument/2006/relationships/image" Target="media/image105.png"/><Relationship Id="rId196" Type="http://schemas.openxmlformats.org/officeDocument/2006/relationships/image" Target="media/image106.png"/><Relationship Id="rId197" Type="http://schemas.openxmlformats.org/officeDocument/2006/relationships/image" Target="media/image107.png"/><Relationship Id="rId198" Type="http://schemas.openxmlformats.org/officeDocument/2006/relationships/image" Target="media/image108.png"/><Relationship Id="rId199" Type="http://schemas.openxmlformats.org/officeDocument/2006/relationships/image" Target="media/image109.png"/><Relationship Id="rId200" Type="http://schemas.openxmlformats.org/officeDocument/2006/relationships/image" Target="media/image110.png"/><Relationship Id="rId201" Type="http://schemas.openxmlformats.org/officeDocument/2006/relationships/image" Target="media/image111.png"/><Relationship Id="rId202" Type="http://schemas.openxmlformats.org/officeDocument/2006/relationships/image" Target="media/image112.png"/><Relationship Id="rId203" Type="http://schemas.openxmlformats.org/officeDocument/2006/relationships/image" Target="media/image113.png"/><Relationship Id="rId204" Type="http://schemas.openxmlformats.org/officeDocument/2006/relationships/image" Target="media/image114.png"/><Relationship Id="rId205" Type="http://schemas.openxmlformats.org/officeDocument/2006/relationships/image" Target="media/image115.png"/><Relationship Id="rId206" Type="http://schemas.openxmlformats.org/officeDocument/2006/relationships/image" Target="media/image116.png"/><Relationship Id="rId207" Type="http://schemas.openxmlformats.org/officeDocument/2006/relationships/image" Target="media/image117.png"/><Relationship Id="rId208" Type="http://schemas.openxmlformats.org/officeDocument/2006/relationships/image" Target="media/image118.png"/><Relationship Id="rId209" Type="http://schemas.openxmlformats.org/officeDocument/2006/relationships/image" Target="media/image119.png"/><Relationship Id="rId210" Type="http://schemas.openxmlformats.org/officeDocument/2006/relationships/image" Target="media/image120.png"/><Relationship Id="rId211" Type="http://schemas.openxmlformats.org/officeDocument/2006/relationships/image" Target="media/image121.jpeg"/><Relationship Id="rId212" Type="http://schemas.openxmlformats.org/officeDocument/2006/relationships/image" Target="media/image122.png"/><Relationship Id="rId213" Type="http://schemas.openxmlformats.org/officeDocument/2006/relationships/image" Target="media/image123.jpeg"/><Relationship Id="rId214" Type="http://schemas.openxmlformats.org/officeDocument/2006/relationships/image" Target="media/image124.png"/><Relationship Id="rId215" Type="http://schemas.openxmlformats.org/officeDocument/2006/relationships/image" Target="media/image125.png"/><Relationship Id="rId216" Type="http://schemas.openxmlformats.org/officeDocument/2006/relationships/image" Target="media/image126.png"/><Relationship Id="rId217" Type="http://schemas.openxmlformats.org/officeDocument/2006/relationships/image" Target="media/image127.jpeg"/><Relationship Id="rId218" Type="http://schemas.openxmlformats.org/officeDocument/2006/relationships/image" Target="media/image128.png"/><Relationship Id="rId219" Type="http://schemas.openxmlformats.org/officeDocument/2006/relationships/image" Target="media/image129.png"/><Relationship Id="rId220" Type="http://schemas.openxmlformats.org/officeDocument/2006/relationships/image" Target="media/image130.jpeg"/><Relationship Id="rId221" Type="http://schemas.openxmlformats.org/officeDocument/2006/relationships/image" Target="media/image131.png"/><Relationship Id="rId222" Type="http://schemas.openxmlformats.org/officeDocument/2006/relationships/image" Target="media/image132.png"/><Relationship Id="rId223" Type="http://schemas.openxmlformats.org/officeDocument/2006/relationships/image" Target="media/image133.jpeg"/><Relationship Id="rId224" Type="http://schemas.openxmlformats.org/officeDocument/2006/relationships/image" Target="media/image134.png"/><Relationship Id="rId225" Type="http://schemas.openxmlformats.org/officeDocument/2006/relationships/image" Target="media/image135.png"/><Relationship Id="rId226" Type="http://schemas.openxmlformats.org/officeDocument/2006/relationships/image" Target="media/image136.jpeg"/><Relationship Id="rId227" Type="http://schemas.openxmlformats.org/officeDocument/2006/relationships/image" Target="media/image137.png"/><Relationship Id="rId228" Type="http://schemas.openxmlformats.org/officeDocument/2006/relationships/image" Target="media/image138.png"/><Relationship Id="rId229" Type="http://schemas.openxmlformats.org/officeDocument/2006/relationships/image" Target="media/image139.jpeg"/><Relationship Id="rId230" Type="http://schemas.openxmlformats.org/officeDocument/2006/relationships/image" Target="media/image140.png"/><Relationship Id="rId231" Type="http://schemas.openxmlformats.org/officeDocument/2006/relationships/image" Target="media/image141.png"/><Relationship Id="rId232" Type="http://schemas.openxmlformats.org/officeDocument/2006/relationships/image" Target="media/image142.jpeg"/><Relationship Id="rId233" Type="http://schemas.openxmlformats.org/officeDocument/2006/relationships/image" Target="media/image143.png"/><Relationship Id="rId234" Type="http://schemas.openxmlformats.org/officeDocument/2006/relationships/image" Target="media/image144.png"/><Relationship Id="rId235" Type="http://schemas.openxmlformats.org/officeDocument/2006/relationships/image" Target="media/image145.jpeg"/><Relationship Id="rId236" Type="http://schemas.openxmlformats.org/officeDocument/2006/relationships/image" Target="media/image146.png"/><Relationship Id="rId237" Type="http://schemas.openxmlformats.org/officeDocument/2006/relationships/image" Target="media/image147.png"/><Relationship Id="rId238" Type="http://schemas.openxmlformats.org/officeDocument/2006/relationships/image" Target="media/image148.jpeg"/><Relationship Id="rId239" Type="http://schemas.openxmlformats.org/officeDocument/2006/relationships/image" Target="media/image149.png"/><Relationship Id="rId240" Type="http://schemas.openxmlformats.org/officeDocument/2006/relationships/image" Target="media/image150.png"/><Relationship Id="rId241" Type="http://schemas.openxmlformats.org/officeDocument/2006/relationships/image" Target="media/image151.jpeg"/><Relationship Id="rId242" Type="http://schemas.openxmlformats.org/officeDocument/2006/relationships/image" Target="media/image152.png"/><Relationship Id="rId243" Type="http://schemas.openxmlformats.org/officeDocument/2006/relationships/image" Target="media/image153.png"/><Relationship Id="rId244" Type="http://schemas.openxmlformats.org/officeDocument/2006/relationships/image" Target="media/image154.jpeg"/><Relationship Id="rId245" Type="http://schemas.openxmlformats.org/officeDocument/2006/relationships/image" Target="media/image155.png"/><Relationship Id="rId246" Type="http://schemas.openxmlformats.org/officeDocument/2006/relationships/image" Target="media/image156.png"/><Relationship Id="rId247" Type="http://schemas.openxmlformats.org/officeDocument/2006/relationships/image" Target="media/image157.jpeg"/><Relationship Id="rId248" Type="http://schemas.openxmlformats.org/officeDocument/2006/relationships/image" Target="media/image158.png"/><Relationship Id="rId249" Type="http://schemas.openxmlformats.org/officeDocument/2006/relationships/image" Target="media/image159.png"/><Relationship Id="rId250" Type="http://schemas.openxmlformats.org/officeDocument/2006/relationships/image" Target="media/image160.jpeg"/><Relationship Id="rId251" Type="http://schemas.openxmlformats.org/officeDocument/2006/relationships/image" Target="media/image161.png"/><Relationship Id="rId252" Type="http://schemas.openxmlformats.org/officeDocument/2006/relationships/image" Target="media/image162.png"/><Relationship Id="rId253" Type="http://schemas.openxmlformats.org/officeDocument/2006/relationships/image" Target="media/image163.png"/><Relationship Id="rId254" Type="http://schemas.openxmlformats.org/officeDocument/2006/relationships/image" Target="media/image164.png"/><Relationship Id="rId255" Type="http://schemas.openxmlformats.org/officeDocument/2006/relationships/image" Target="media/image165.png"/><Relationship Id="rId256" Type="http://schemas.openxmlformats.org/officeDocument/2006/relationships/image" Target="media/image166.png"/><Relationship Id="rId257" Type="http://schemas.openxmlformats.org/officeDocument/2006/relationships/image" Target="media/image167.png"/><Relationship Id="rId258" Type="http://schemas.openxmlformats.org/officeDocument/2006/relationships/image" Target="media/image168.png"/><Relationship Id="rId259" Type="http://schemas.openxmlformats.org/officeDocument/2006/relationships/image" Target="media/image169.png"/><Relationship Id="rId260" Type="http://schemas.openxmlformats.org/officeDocument/2006/relationships/image" Target="media/image170.png"/><Relationship Id="rId84" Type="http://schemas.openxmlformats.org/officeDocument/2006/relationships/hyperlink" Target="https://www.sec.gov/Archives/edgar/data/1433607/000161577415003178/s102096_ex3-1.htm" TargetMode="External"/><Relationship Id="rId85" Type="http://schemas.openxmlformats.org/officeDocument/2006/relationships/hyperlink" Target="https://www.sec.gov/Archives/edgar/data/1433607/000149315221015545/ex3-2.htm" TargetMode="External"/><Relationship Id="rId86" Type="http://schemas.openxmlformats.org/officeDocument/2006/relationships/hyperlink" Target="https://www.sec.gov/Archives/edgar/data/1433607/000161577416005628/s103343_ex3-1.htm" TargetMode="External"/><Relationship Id="rId87" Type="http://schemas.openxmlformats.org/officeDocument/2006/relationships/hyperlink" Target="https://www.sec.gov/Archives/edgar/data/1433607/000149315216013705/ex3-1.htm" TargetMode="External"/><Relationship Id="rId88" Type="http://schemas.openxmlformats.org/officeDocument/2006/relationships/hyperlink" Target="https://www.sec.gov/Archives/edgar/data/1433607/000149315217002455/ex3-1.htm" TargetMode="External"/><Relationship Id="rId89" Type="http://schemas.openxmlformats.org/officeDocument/2006/relationships/hyperlink" Target="https://www.sec.gov/Archives/edgar/data/1433607/000149315217013917/ex3-1.htm" TargetMode="External"/><Relationship Id="rId90" Type="http://schemas.openxmlformats.org/officeDocument/2006/relationships/hyperlink" Target="https://www.sec.gov/Archives/edgar/data/1433607/000149315217014515/ex3-1.htm" TargetMode="External"/><Relationship Id="rId91" Type="http://schemas.openxmlformats.org/officeDocument/2006/relationships/hyperlink" Target="https://www.sec.gov/Archives/edgar/data/1433607/000149315218001617/ex3-1.htm" TargetMode="External"/><Relationship Id="rId92" Type="http://schemas.openxmlformats.org/officeDocument/2006/relationships/hyperlink" Target="https://www.sec.gov/Archives/edgar/data/1433607/000149315218002799/ex3-1.htm" TargetMode="External"/><Relationship Id="rId93" Type="http://schemas.openxmlformats.org/officeDocument/2006/relationships/hyperlink" Target="https://www.sec.gov/Archives/edgar/data/1433607/000149315218004660/ex3-1.htm" TargetMode="External"/><Relationship Id="rId94" Type="http://schemas.openxmlformats.org/officeDocument/2006/relationships/hyperlink" Target="https://www.sec.gov/Archives/edgar/data/1433607/000149315219004101/ex3-1.htm" TargetMode="External"/><Relationship Id="rId95" Type="http://schemas.openxmlformats.org/officeDocument/2006/relationships/hyperlink" Target="https://www.sec.gov/Archives/edgar/data/1433607/000149315221010881/ex3-17.htm" TargetMode="External"/><Relationship Id="rId96" Type="http://schemas.openxmlformats.org/officeDocument/2006/relationships/hyperlink" Target="https://www.sec.gov/Archives/edgar/data/1433607/000114420413012900/v328423_ex4-1.htm" TargetMode="External"/><Relationship Id="rId97" Type="http://schemas.openxmlformats.org/officeDocument/2006/relationships/hyperlink" Target="https://www.sec.gov/Archives/edgar/data/1433607/000149315224008850/ex4-1.htm" TargetMode="External"/><Relationship Id="rId98" Type="http://schemas.openxmlformats.org/officeDocument/2006/relationships/hyperlink" Target="https://www.sec.gov/Archives/edgar/data/1433607/000119380511001650/e608811_ex10-22.htm" TargetMode="External"/><Relationship Id="rId99" Type="http://schemas.openxmlformats.org/officeDocument/2006/relationships/hyperlink" Target="https://www.sec.gov/Archives/edgar/data/1433607/000114420413068386/v363531_ex10-1.htm" TargetMode="External"/><Relationship Id="rId100" Type="http://schemas.openxmlformats.org/officeDocument/2006/relationships/hyperlink" Target="https://www.sec.gov/Archives/edgar/data/1433607/000114420414028324/v375932_ex10-2.htm" TargetMode="External"/><Relationship Id="rId101" Type="http://schemas.openxmlformats.org/officeDocument/2006/relationships/hyperlink" Target="https://www.sec.gov/Archives/edgar/data/1433607/000114420414028324/v375932_ex10-3.htm" TargetMode="External"/><Relationship Id="rId102" Type="http://schemas.openxmlformats.org/officeDocument/2006/relationships/hyperlink" Target="https://www.sec.gov/Archives/edgar/data/1433607/000114420414035898/v380351_ex99-2.htm" TargetMode="External"/><Relationship Id="rId103" Type="http://schemas.openxmlformats.org/officeDocument/2006/relationships/hyperlink" Target="https://www.sec.gov/Archives/edgar/data/1433607/000114420414035898/v380351_ex99-3.htm" TargetMode="External"/><Relationship Id="rId104" Type="http://schemas.openxmlformats.org/officeDocument/2006/relationships/hyperlink" Target="https://www.sec.gov/Archives/edgar/data/1433607/000114420414035898/v380351_ex99-4.htm" TargetMode="External"/><Relationship Id="rId105" Type="http://schemas.openxmlformats.org/officeDocument/2006/relationships/hyperlink" Target="https://www.sec.gov/Archives/edgar/data/1433607/000114420414035898/v380351_ex99-5.htm" TargetMode="External"/><Relationship Id="rId106" Type="http://schemas.openxmlformats.org/officeDocument/2006/relationships/hyperlink" Target="https://www.sec.gov/Archives/edgar/data/1433607/000114420414035898/v380351_ex99-6.htm" TargetMode="External"/><Relationship Id="rId107" Type="http://schemas.openxmlformats.org/officeDocument/2006/relationships/hyperlink" Target="https://www.sec.gov/Archives/edgar/data/1433607/000114420414035898/v380351_ex99-7.htm" TargetMode="External"/><Relationship Id="rId108" Type="http://schemas.openxmlformats.org/officeDocument/2006/relationships/hyperlink" Target="https://www.sec.gov/Archives/edgar/data/1433607/000114420414035898/v380351_ex99-8.htm" TargetMode="External"/><Relationship Id="rId109" Type="http://schemas.openxmlformats.org/officeDocument/2006/relationships/hyperlink" Target="https://www.sec.gov/Archives/edgar/data/1433607/000114420414035898/v380351_ex99-9.htm" TargetMode="External"/><Relationship Id="rId110" Type="http://schemas.openxmlformats.org/officeDocument/2006/relationships/hyperlink" Target="https://www.sec.gov/Archives/edgar/data/1433607/000114420414035898/v380351_ex99-10.htm" TargetMode="External"/><Relationship Id="rId111" Type="http://schemas.openxmlformats.org/officeDocument/2006/relationships/hyperlink" Target="https://www.sec.gov/Archives/edgar/data/1433607/000114420414035898/v380351_ex99-11.htm" TargetMode="External"/><Relationship Id="rId112" Type="http://schemas.openxmlformats.org/officeDocument/2006/relationships/hyperlink" Target="https://www.sec.gov/Archives/edgar/data/1433607/000114420415000755/v398154_ex10-3.htm" TargetMode="External"/><Relationship Id="rId113" Type="http://schemas.openxmlformats.org/officeDocument/2006/relationships/hyperlink" Target="https://www.sec.gov/Archives/edgar/data/1433607/000161577415002506/s101800_ex10-1.htm" TargetMode="External"/><Relationship Id="rId114" Type="http://schemas.openxmlformats.org/officeDocument/2006/relationships/hyperlink" Target="https://www.sec.gov/Archives/edgar/data/1433607/000161577416005628/s103343_ex10-1.htm" TargetMode="External"/><Relationship Id="rId115" Type="http://schemas.openxmlformats.org/officeDocument/2006/relationships/hyperlink" Target="https://www.sec.gov/Archives/edgar/data/1433607/000149315216011836/ex10-1.htm" TargetMode="External"/><Relationship Id="rId116" Type="http://schemas.openxmlformats.org/officeDocument/2006/relationships/hyperlink" Target="https://www.sec.gov/Archives/edgar/data/1433607/000149315216013705/ex10-1.htm" TargetMode="External"/><Relationship Id="rId117" Type="http://schemas.openxmlformats.org/officeDocument/2006/relationships/hyperlink" Target="https://www.sec.gov/Archives/edgar/data/1433607/000149315216013185/ex99-1.htm" TargetMode="External"/><Relationship Id="rId118" Type="http://schemas.openxmlformats.org/officeDocument/2006/relationships/hyperlink" Target="https://www.sec.gov/Archives/edgar/data/1433607/000149315218014895/ex10_1.htm" TargetMode="External"/><Relationship Id="rId119" Type="http://schemas.openxmlformats.org/officeDocument/2006/relationships/hyperlink" Target="https://www.sec.gov/Archives/edgar/data/1433607/000161577419004318/s116868_ex10-1.htm" TargetMode="External"/><Relationship Id="rId120" Type="http://schemas.openxmlformats.org/officeDocument/2006/relationships/hyperlink" Target="https://www.sec.gov/Archives/edgar/data/1433607/000149315219004101/ex10-1.htm" TargetMode="External"/><Relationship Id="rId121" Type="http://schemas.openxmlformats.org/officeDocument/2006/relationships/hyperlink" Target="https://www.sec.gov/Archives/edgar/data/1433607/000149315219018960/ex10-2.htm" TargetMode="External"/><Relationship Id="rId122" Type="http://schemas.openxmlformats.org/officeDocument/2006/relationships/hyperlink" Target="https://www.sec.gov/Archives/edgar/data/1433607/000149315220000179/ex10-2.htm" TargetMode="External"/><Relationship Id="rId123" Type="http://schemas.openxmlformats.org/officeDocument/2006/relationships/hyperlink" Target="https://www.sec.gov/Archives/edgar/data/1433607/000149315220003630/ex10-60.htm" TargetMode="External"/><Relationship Id="rId124" Type="http://schemas.openxmlformats.org/officeDocument/2006/relationships/hyperlink" Target="https://www.sec.gov/Archives/edgar/data/1433607/000149315220003630/ex10-61.htm" TargetMode="External"/><Relationship Id="rId125" Type="http://schemas.openxmlformats.org/officeDocument/2006/relationships/hyperlink" Target="https://www.sec.gov/Archives/edgar/data/1433607/000149315220010280/ex4-5.htm" TargetMode="External"/><Relationship Id="rId126" Type="http://schemas.openxmlformats.org/officeDocument/2006/relationships/hyperlink" Target="https://www.sec.gov/Archives/edgar/data/1433607/000149315220010280/ex1-1.htm" TargetMode="External"/><Relationship Id="rId127" Type="http://schemas.openxmlformats.org/officeDocument/2006/relationships/hyperlink" Target="https://www.sec.gov/Archives/edgar/data/1433607/000149315221002128/ex4-5.htm" TargetMode="External"/><Relationship Id="rId128" Type="http://schemas.openxmlformats.org/officeDocument/2006/relationships/hyperlink" Target="https://www.sec.gov/Archives/edgar/data/1433607/000149315221002128/ex4-6.htm" TargetMode="External"/><Relationship Id="rId129" Type="http://schemas.openxmlformats.org/officeDocument/2006/relationships/hyperlink" Target="https://www.sec.gov/Archives/edgar/data/1433607/000149315220016998/ex10-1.htm" TargetMode="External"/><Relationship Id="rId130" Type="http://schemas.openxmlformats.org/officeDocument/2006/relationships/hyperlink" Target="https://www.sec.gov/Archives/edgar/data/1433607/000149315221019036/ex10-1.htm" TargetMode="External"/><Relationship Id="rId131" Type="http://schemas.openxmlformats.org/officeDocument/2006/relationships/hyperlink" Target="https://www.sec.gov/Archives/edgar/data/1433607/000149315221027504/ex10-1.htm" TargetMode="External"/><Relationship Id="rId132" Type="http://schemas.openxmlformats.org/officeDocument/2006/relationships/hyperlink" Target="https://www.sec.gov/Archives/edgar/data/1433607/000149315221027504/ex10-2.htm" TargetMode="External"/><Relationship Id="rId133" Type="http://schemas.openxmlformats.org/officeDocument/2006/relationships/hyperlink" Target="https://www.sec.gov/Archives/edgar/data/1433607/000149315222006180/ex10-51.htm" TargetMode="External"/><Relationship Id="rId134" Type="http://schemas.openxmlformats.org/officeDocument/2006/relationships/hyperlink" Target="https://www.sec.gov/Archives/edgar/data/1433607/000149315221019508/formdef14a.htm#ar_001" TargetMode="External"/><Relationship Id="rId135" Type="http://schemas.openxmlformats.org/officeDocument/2006/relationships/hyperlink" Target="https://www.sec.gov/Archives/edgar/data/1433607/000149315222006180/ex10-53.htm" TargetMode="External"/><Relationship Id="rId136" Type="http://schemas.openxmlformats.org/officeDocument/2006/relationships/hyperlink" Target="https://www.sec.gov/Archives/edgar/data/1433607/000149315222006180/ex10-54.htm" TargetMode="External"/><Relationship Id="rId137" Type="http://schemas.openxmlformats.org/officeDocument/2006/relationships/hyperlink" Target="https://www.sec.gov/Archives/edgar/data/1433607/000149315222006180/ex10-55.htm" TargetMode="External"/><Relationship Id="rId138" Type="http://schemas.openxmlformats.org/officeDocument/2006/relationships/hyperlink" Target="https://www.sec.gov/Archives/edgar/data/1433607/000149315222006180/ex10-56.htm" TargetMode="External"/><Relationship Id="rId139" Type="http://schemas.openxmlformats.org/officeDocument/2006/relationships/hyperlink" Target="https://www.sec.gov/Archives/edgar/data/1433607/000149315222006180/ex10-57.htm" TargetMode="External"/><Relationship Id="rId140" Type="http://schemas.openxmlformats.org/officeDocument/2006/relationships/hyperlink" Target="https://www.sec.gov/Archives/edgar/data/1433607/000149315222006180/ex10-58.htm" TargetMode="External"/><Relationship Id="rId141" Type="http://schemas.openxmlformats.org/officeDocument/2006/relationships/hyperlink" Target="https://www.sec.gov/Archives/edgar/data/1433607/000149315222006180/ex10-59.htm" TargetMode="External"/><Relationship Id="rId142" Type="http://schemas.openxmlformats.org/officeDocument/2006/relationships/hyperlink" Target="https://www.sec.gov/Archives/edgar/data/1433607/000149315222006180/ex10-60.htm" TargetMode="External"/><Relationship Id="rId143" Type="http://schemas.openxmlformats.org/officeDocument/2006/relationships/hyperlink" Target="https://www.sec.gov/Archives/edgar/data/1433607/000149315222006180/ex10-61.htm" TargetMode="External"/><Relationship Id="rId145" Type="http://schemas.openxmlformats.org/officeDocument/2006/relationships/hyperlink" Target="https://www.sec.gov/Archives/edgar/data/1433607/000149315222006180/ex10-62.htm" TargetMode="External"/><Relationship Id="rId146" Type="http://schemas.openxmlformats.org/officeDocument/2006/relationships/hyperlink" Target="https://www.sec.gov/Archives/edgar/data/1433607/000149315223009598/ex10-64.htm" TargetMode="External"/><Relationship Id="rId147" Type="http://schemas.openxmlformats.org/officeDocument/2006/relationships/hyperlink" Target="https://www.sec.gov/Archives/edgar/data/1433607/000149315223009598/ex10-65.htm" TargetMode="External"/><Relationship Id="rId148" Type="http://schemas.openxmlformats.org/officeDocument/2006/relationships/hyperlink" Target="https://www.sec.gov/Archives/edgar/data/1433607/000149315223009598/ex10-66.htm" TargetMode="External"/><Relationship Id="rId149" Type="http://schemas.openxmlformats.org/officeDocument/2006/relationships/hyperlink" Target="https://www.sec.gov/Archives/edgar/data/1433607/000149315223017367/ex10-1.htm" TargetMode="External"/><Relationship Id="rId150" Type="http://schemas.openxmlformats.org/officeDocument/2006/relationships/hyperlink" Target="https://www.sec.gov/Archives/edgar/data/1433607/000149315223017367/ex10-2.htm" TargetMode="External"/><Relationship Id="rId151" Type="http://schemas.openxmlformats.org/officeDocument/2006/relationships/hyperlink" Target="https://www.sec.gov/Archives/edgar/data/1433607/000149315223017367/ex10-3.htm" TargetMode="External"/><Relationship Id="rId152" Type="http://schemas.openxmlformats.org/officeDocument/2006/relationships/hyperlink" Target="https://www.sec.gov/Archives/edgar/data/1433607/000149315223017367/ex10-4.htm" TargetMode="External"/><Relationship Id="rId153" Type="http://schemas.openxmlformats.org/officeDocument/2006/relationships/hyperlink" Target="https://www.sec.gov/Archives/edgar/data/1433607/000149315223017367/ex10-5.htm" TargetMode="External"/><Relationship Id="rId154" Type="http://schemas.openxmlformats.org/officeDocument/2006/relationships/hyperlink" Target="https://www.sec.gov/Archives/edgar/data/1433607/000149315223017367/ex10-6.htm" TargetMode="External"/><Relationship Id="rId155" Type="http://schemas.openxmlformats.org/officeDocument/2006/relationships/hyperlink" Target="https://www.sec.gov/Archives/edgar/data/1433607/000149315223017367/ex10-7.htm" TargetMode="External"/><Relationship Id="rId156" Type="http://schemas.openxmlformats.org/officeDocument/2006/relationships/hyperlink" Target="https://www.sec.gov/Archives/edgar/data/1433607/000149315224008850/ex10-62.htm" TargetMode="External"/><Relationship Id="rId157" Type="http://schemas.openxmlformats.org/officeDocument/2006/relationships/hyperlink" Target="https://www.sec.gov/Archives/edgar/data/1433607/000149315224012648/ex10-1.htm" TargetMode="External"/><Relationship Id="rId158" Type="http://schemas.openxmlformats.org/officeDocument/2006/relationships/hyperlink" Target="https://www.sec.gov/Archives/edgar/data/1433607/000149315224012648/ex10-2.htm" TargetMode="External"/><Relationship Id="rId159" Type="http://schemas.openxmlformats.org/officeDocument/2006/relationships/hyperlink" Target="https://www.sec.gov/Archives/edgar/data/1433607/000149315224022222/ex10-1.htm" TargetMode="External"/><Relationship Id="rId160" Type="http://schemas.openxmlformats.org/officeDocument/2006/relationships/hyperlink" Target="https://www.sec.gov/Archives/edgar/data/1433607/000149315224039017/ex10-1.htm" TargetMode="External"/><Relationship Id="rId161" Type="http://schemas.openxmlformats.org/officeDocument/2006/relationships/hyperlink" Target="https://www.sec.gov/Archives/edgar/data/1433607/000149315224039017/ex10-2.htm" TargetMode="External"/><Relationship Id="rId162" Type="http://schemas.openxmlformats.org/officeDocument/2006/relationships/hyperlink" Target="https://www.sec.gov/Archives/edgar/data/1433607/000149315224039017/ex10-3.htm" TargetMode="External"/><Relationship Id="rId163" Type="http://schemas.openxmlformats.org/officeDocument/2006/relationships/hyperlink" Target="https://www.sec.gov/Archives/edgar/data/1433607/000149315224039017/ex10-4.htm" TargetMode="External"/><Relationship Id="rId164" Type="http://schemas.openxmlformats.org/officeDocument/2006/relationships/hyperlink" Target="https://www.sec.gov/Archives/edgar/data/1433607/000149315224041036/ex10-1.htm" TargetMode="External"/><Relationship Id="rId165" Type="http://schemas.openxmlformats.org/officeDocument/2006/relationships/hyperlink" Target="https://www.sec.gov/Archives/edgar/data/1433607/000149315224049727/ex10-1.htm" TargetMode="External"/><Relationship Id="rId166" Type="http://schemas.openxmlformats.org/officeDocument/2006/relationships/hyperlink" Target="https://www.sec.gov/Archives/edgar/data/1433607/000119380511000675/e608253_ex21-1.htm" TargetMode="External"/><Relationship Id="rId167" Type="http://schemas.openxmlformats.org/officeDocument/2006/relationships/hyperlink" Target="https://www.sec.gov/Archives/edgar/data/1433607/000149315224008850/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2025-03-12T05:26:23Z</dcterms:created>
  <dcterms:modified xsi:type="dcterms:W3CDTF">2025-03-12T05:26:23Z</dcterms:modified>
</cp:coreProperties>
</file>