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4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i w:val="false"/>
          <w:caps w:val="false"/>
          <w:smallCaps w:val="false"/>
          <w:sz w:val="20"/>
        </w:rPr>
        <w:t xml:space="preserve">September 30, </w:t>
      </w:r>
      <w:bookmarkStart w:id="5" w:name="xdx_90C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F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6_edei--EntityFileNumber_c20250101"/>
      <w:bookmarkEnd w:id="7"/>
      <w:r>
        <w:rPr>
          <w:rFonts w:ascii="Times New Roman;Times;Serif" w:hAnsi="Times New Roman;Times;Serif"/>
          <w:b/>
          <w:i w:val="false"/>
          <w:caps w:val="false"/>
          <w:smallCaps w:val="false"/>
          <w:sz w:val="20"/>
        </w:rPr>
        <w:t>001-35731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3_edei--EntityRegistrantName_c2025"/>
      <w:bookmarkEnd w:id="8"/>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26-2123838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D_edei--EntityAddressAddressLine1_"/>
      <w:bookmarkEnd w:id="11"/>
      <w:r>
        <w:rPr>
          <w:rFonts w:ascii="Times New Roman;Times;Serif" w:hAnsi="Times New Roman;Times;Serif"/>
          <w:b/>
          <w:i w:val="false"/>
          <w:caps w:val="false"/>
          <w:smallCaps w:val="false"/>
          <w:sz w:val="20"/>
        </w:rPr>
        <w:t>6303 Waterford District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A_edei--EntityAddressAddressLine2_"/>
      <w:bookmarkEnd w:id="12"/>
      <w:r>
        <w:rPr>
          <w:rFonts w:ascii="Times New Roman;Times;Serif" w:hAnsi="Times New Roman;Times;Serif"/>
          <w:b/>
          <w:i w:val="false"/>
          <w:caps w:val="false"/>
          <w:smallCaps w:val="false"/>
          <w:sz w:val="20"/>
        </w:rPr>
        <w:t>Suite 215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5_edei--EntityAddressCityOrTown_c2"/>
      <w:bookmarkEnd w:id="13"/>
      <w:r>
        <w:rPr>
          <w:rFonts w:ascii="Times New Roman;Times;Serif" w:hAnsi="Times New Roman;Times;Serif"/>
          <w:b/>
          <w:i w:val="false"/>
          <w:caps w:val="false"/>
          <w:smallCaps w:val="false"/>
          <w:sz w:val="20"/>
        </w:rPr>
        <w:t xml:space="preserve">Miami, </w:t>
      </w:r>
      <w:bookmarkStart w:id="14" w:name="xdx_902_edei--EntityAddressStateOrProvin"/>
      <w:bookmarkEnd w:id="14"/>
      <w:r>
        <w:rPr>
          <w:rFonts w:ascii="Times New Roman;Times;Serif" w:hAnsi="Times New Roman;Times;Serif"/>
          <w:b/>
          <w:i w:val="false"/>
          <w:caps w:val="false"/>
          <w:smallCaps w:val="false"/>
          <w:sz w:val="20"/>
        </w:rPr>
        <w:t xml:space="preserve">Florida </w:t>
      </w:r>
      <w:bookmarkStart w:id="15" w:name="xdx_906_edei--EntityAddressPostalZipCode"/>
      <w:bookmarkEnd w:id="15"/>
      <w:r>
        <w:rPr>
          <w:rFonts w:ascii="Times New Roman;Times;Serif" w:hAnsi="Times New Roman;Times;Serif"/>
          <w:b/>
          <w:i w:val="false"/>
          <w:caps w:val="false"/>
          <w:smallCaps w:val="false"/>
          <w:sz w:val="20"/>
        </w:rPr>
        <w:t>33126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A_edei--CityAreaCode_c20250101__20"/>
      <w:bookmarkEnd w:id="16"/>
      <w:r>
        <w:rPr>
          <w:rFonts w:ascii="Times New Roman;Times;Serif" w:hAnsi="Times New Roman;Times;Serif"/>
          <w:b/>
          <w:i w:val="false"/>
          <w:caps w:val="false"/>
          <w:smallCaps w:val="false"/>
          <w:sz w:val="20"/>
        </w:rPr>
        <w:t xml:space="preserve">(888) </w:t>
      </w:r>
      <w:bookmarkStart w:id="17" w:name="xdx_907_edei--LocalPhoneNumber_c20250101"/>
      <w:bookmarkEnd w:id="17"/>
      <w:r>
        <w:rPr>
          <w:rFonts w:ascii="Times New Roman;Times;Serif" w:hAnsi="Times New Roman;Times;Serif"/>
          <w:b/>
          <w:i w:val="false"/>
          <w:caps w:val="false"/>
          <w:smallCaps w:val="false"/>
          <w:sz w:val="20"/>
        </w:rPr>
        <w:t>776-6804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8" w:name="xdx_90E_edei--EntityCurrentReportingStat"/>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19" w:name="xdx_905_edei--EntityInteractiveDataCurre"/>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EntityFilerCategory_c20250"/>
            <w:bookmarkEnd w:id="20"/>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1" w:name="xdx_90D_edei--EntitySmallBusiness_c20250"/>
            <w:bookmarkEnd w:id="21"/>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3" w:name="xdx_901_edei--EntityShellCompany_dbF_c20"/>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7_edei--Security12bTitle_c20250101"/>
            <w:bookmarkEnd w:id="24"/>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4_edei--TradingSymbol_c20250101__2"/>
            <w:bookmarkEnd w:id="25"/>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8_edei--SecurityExchangeName_c2025"/>
            <w:bookmarkEnd w:id="26"/>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w:t>
      </w:r>
      <w:bookmarkStart w:id="27" w:name="xdx_904_edei--EntityListingParValuePerSh"/>
      <w:bookmarkEnd w:id="27"/>
      <w:r>
        <w:rPr>
          <w:rFonts w:ascii="Times New Roman;Times;Serif" w:hAnsi="Times New Roman;Times;Serif"/>
          <w:b w:val="false"/>
          <w:i w:val="false"/>
          <w:caps w:val="false"/>
          <w:smallCaps w:val="false"/>
          <w:sz w:val="20"/>
        </w:rPr>
        <w:t xml:space="preserve">0.0001 par value, outstanding as of November 10, 2025: </w:t>
      </w:r>
      <w:bookmarkStart w:id="28" w:name="xdx_90F_edei--EntityCommonStockSharesOut"/>
      <w:bookmarkEnd w:id="28"/>
      <w:r>
        <w:rPr>
          <w:rFonts w:ascii="Times New Roman;Times;Serif" w:hAnsi="Times New Roman;Times;Serif"/>
          <w:b w:val="false"/>
          <w:i w:val="false"/>
          <w:caps w:val="false"/>
          <w:smallCaps w:val="false"/>
          <w:sz w:val="20"/>
        </w:rPr>
        <w:t>42,370,995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AND FOR THE QUARTER ENDED </w:t>
      </w:r>
      <w:bookmarkStart w:id="29" w:name="xdx_909_edei--DocumentPeriodEndDate_c202"/>
      <w:bookmarkEnd w:id="29"/>
      <w:r>
        <w:rPr>
          <w:rFonts w:ascii="Times New Roman;Times;Serif" w:hAnsi="Times New Roman;Times;Serif"/>
          <w:b w:val="false"/>
          <w:i w:val="false"/>
          <w:caps w:val="false"/>
          <w:smallCaps w:val="false"/>
          <w:sz w:val="20"/>
        </w:rPr>
        <w:t>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725"/>
        <w:gridCol w:w="935"/>
      </w:tblGrid>
      <w:tr>
        <w:trPr/>
        <w:tc>
          <w:tcPr>
            <w:tcW w:w="672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7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 (UNAUDITED):</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pPr>
            <w:hyperlink w:anchor="Rma_001">
              <w:r>
                <w:rPr>
                  <w:rStyle w:val="InternetLink"/>
                  <w:rFonts w:ascii="Times New Roman;Times;Serif" w:hAnsi="Times New Roman;Times;Serif"/>
                  <w:b w:val="false"/>
                  <w:i w:val="false"/>
                  <w:caps w:val="false"/>
                  <w:smallCaps w:val="false"/>
                  <w:sz w:val="20"/>
                </w:rPr>
                <w:t>Condensed Consolidated Balance Sheets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6725" w:type="dxa"/>
            <w:tcBorders/>
            <w:shd w:fill="FFFFFF" w:val="clear"/>
            <w:vAlign w:val="center"/>
          </w:tcPr>
          <w:p>
            <w:pPr>
              <w:pStyle w:val="TableContents"/>
              <w:bidi w:val="0"/>
              <w:spacing w:before="0" w:after="283"/>
              <w:jc w:val="left"/>
              <w:rPr/>
            </w:pPr>
            <w:hyperlink w:anchor="Rma_002">
              <w:r>
                <w:rPr>
                  <w:rStyle w:val="InternetLink"/>
                  <w:rFonts w:ascii="Times New Roman;Times;Serif" w:hAnsi="Times New Roman;Times;Serif"/>
                  <w:b w:val="false"/>
                  <w:i w:val="false"/>
                  <w:caps w:val="false"/>
                  <w:smallCaps w:val="false"/>
                  <w:sz w:val="20"/>
                </w:rPr>
                <w:t>Condensed Consolidated Statements of Operations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25" w:type="dxa"/>
            <w:tcBorders/>
            <w:shd w:fill="CCEEFF" w:val="clear"/>
            <w:vAlign w:val="center"/>
          </w:tcPr>
          <w:p>
            <w:pPr>
              <w:pStyle w:val="TableContents"/>
              <w:bidi w:val="0"/>
              <w:spacing w:before="0" w:after="283"/>
              <w:jc w:val="left"/>
              <w:rPr/>
            </w:pPr>
            <w:hyperlink w:anchor="Rma_003">
              <w:r>
                <w:rPr>
                  <w:rStyle w:val="InternetLink"/>
                  <w:rFonts w:ascii="Times New Roman;Times;Serif" w:hAnsi="Times New Roman;Times;Serif"/>
                  <w:b w:val="false"/>
                  <w:i w:val="false"/>
                  <w:caps w:val="false"/>
                  <w:smallCaps w:val="false"/>
                  <w:sz w:val="20"/>
                </w:rPr>
                <w:t xml:space="preserve">Condensed Consolidated Statements of Changes in Equity </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F-5 - F-8</w:t>
            </w:r>
          </w:p>
        </w:tc>
      </w:tr>
      <w:tr>
        <w:trPr/>
        <w:tc>
          <w:tcPr>
            <w:tcW w:w="6725" w:type="dxa"/>
            <w:tcBorders/>
            <w:shd w:fill="FFFFFF" w:val="clear"/>
            <w:vAlign w:val="center"/>
          </w:tcPr>
          <w:p>
            <w:pPr>
              <w:pStyle w:val="TableContents"/>
              <w:bidi w:val="0"/>
              <w:spacing w:before="0" w:after="283"/>
              <w:jc w:val="left"/>
              <w:rPr/>
            </w:pPr>
            <w:hyperlink w:anchor="Rma_004">
              <w:r>
                <w:rPr>
                  <w:rStyle w:val="InternetLink"/>
                  <w:rFonts w:ascii="Times New Roman;Times;Serif" w:hAnsi="Times New Roman;Times;Serif"/>
                  <w:b w:val="false"/>
                  <w:i w:val="false"/>
                  <w:caps w:val="false"/>
                  <w:smallCaps w:val="false"/>
                  <w:sz w:val="20"/>
                </w:rPr>
                <w:t>Condensed Consolidated Statements of Cash Flows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F-9 </w:t>
            </w:r>
          </w:p>
        </w:tc>
      </w:tr>
      <w:tr>
        <w:trPr/>
        <w:tc>
          <w:tcPr>
            <w:tcW w:w="6725" w:type="dxa"/>
            <w:tcBorders/>
            <w:shd w:fill="CCEEFF" w:val="clear"/>
            <w:vAlign w:val="center"/>
          </w:tcPr>
          <w:p>
            <w:pPr>
              <w:pStyle w:val="TableContents"/>
              <w:bidi w:val="0"/>
              <w:spacing w:before="0" w:after="283"/>
              <w:jc w:val="left"/>
              <w:rPr/>
            </w:pPr>
            <w:hyperlink w:anchor="Rma_005">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F-10 - F-18</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Rma_001"/>
      <w:bookmarkEnd w:id="30"/>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9_111_pn3n3_z23ZtOJYe4pa"/>
      <w:bookmarkStart w:id="32" w:name="xdx_309_111_pn3n3_z23ZtOJYe4pa"/>
      <w:bookmarkEnd w:id="32"/>
    </w:p>
    <w:tbl>
      <w:tblPr>
        <w:tblW w:w="7993" w:type="dxa"/>
        <w:jc w:val="left"/>
        <w:tblInd w:w="0" w:type="dxa"/>
        <w:tblLayout w:type="fixed"/>
        <w:tblCellMar>
          <w:top w:w="0" w:type="dxa"/>
          <w:left w:w="0" w:type="dxa"/>
          <w:bottom w:w="0" w:type="dxa"/>
          <w:right w:w="0" w:type="dxa"/>
        </w:tblCellMar>
      </w:tblPr>
      <w:tblGrid>
        <w:gridCol w:w="4850"/>
        <w:gridCol w:w="60"/>
        <w:gridCol w:w="251"/>
        <w:gridCol w:w="1223"/>
        <w:gridCol w:w="60"/>
        <w:gridCol w:w="60"/>
        <w:gridCol w:w="241"/>
        <w:gridCol w:w="1173"/>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0_20250930_zyrCgox6fXIl"/>
            <w:bookmarkEnd w:id="33"/>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C_20241231_zccoz4427Ddk"/>
            <w:bookmarkEnd w:id="3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5" w:name="xdx_405_eus-gaap--AssetsAbstract_iB_zVEe"/>
            <w:bookmarkEnd w:id="35"/>
          </w:p>
        </w:tc>
      </w:tr>
      <w:tr>
        <w:trPr/>
        <w:tc>
          <w:tcPr>
            <w:tcW w:w="485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 w:name="xdx_40B_eus-gaap--AssetsCurrentAbstract_"/>
            <w:bookmarkEnd w:id="36"/>
          </w:p>
        </w:tc>
      </w:tr>
      <w:tr>
        <w:trPr/>
        <w:tc>
          <w:tcPr>
            <w:tcW w:w="4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7" w:name="xdx_401_eus-gaap--CashAndCashEquivalents"/>
            <w:bookmarkEnd w:id="37"/>
          </w:p>
        </w:tc>
      </w:tr>
      <w:tr>
        <w:trPr/>
        <w:tc>
          <w:tcPr>
            <w:tcW w:w="48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63,403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18,916</w:t>
            </w:r>
          </w:p>
        </w:tc>
        <w:tc>
          <w:tcPr>
            <w:tcW w:w="75" w:type="dxa"/>
            <w:tcBorders/>
            <w:shd w:fill="CCEEFF" w:val="clear"/>
            <w:vAlign w:val="center"/>
          </w:tcPr>
          <w:p>
            <w:pPr>
              <w:pStyle w:val="TableContents"/>
              <w:bidi w:val="0"/>
              <w:spacing w:before="0" w:after="283"/>
              <w:jc w:val="left"/>
              <w:rPr/>
            </w:pPr>
            <w:r>
              <w:rPr/>
              <w:t> </w:t>
            </w:r>
            <w:bookmarkStart w:id="38" w:name="xdx_40A_eus-gaap--MarketableSecuritiesCu"/>
            <w:bookmarkEnd w:id="38"/>
          </w:p>
        </w:tc>
      </w:tr>
      <w:tr>
        <w:trPr/>
        <w:tc>
          <w:tcPr>
            <w:tcW w:w="485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15,721</w:t>
            </w:r>
          </w:p>
        </w:tc>
        <w:tc>
          <w:tcPr>
            <w:tcW w:w="75" w:type="dxa"/>
            <w:tcBorders/>
            <w:shd w:fill="FFFFFF" w:val="clear"/>
            <w:vAlign w:val="center"/>
          </w:tcPr>
          <w:p>
            <w:pPr>
              <w:pStyle w:val="TableContents"/>
              <w:bidi w:val="0"/>
              <w:spacing w:before="0" w:after="283"/>
              <w:jc w:val="left"/>
              <w:rPr/>
            </w:pPr>
            <w:r>
              <w:rPr/>
              <w:t> </w:t>
            </w:r>
            <w:bookmarkStart w:id="39" w:name="xdx_401_eus-gaap--AccountsReceivableNetC"/>
            <w:bookmarkEnd w:id="39"/>
          </w:p>
        </w:tc>
      </w:tr>
      <w:tr>
        <w:trPr/>
        <w:tc>
          <w:tcPr>
            <w:tcW w:w="48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0" w:name="xdx_406_eus-gaap--AccountsReceivableNetC"/>
            <w:bookmarkEnd w:id="40"/>
          </w:p>
        </w:tc>
      </w:tr>
      <w:tr>
        <w:trPr/>
        <w:tc>
          <w:tcPr>
            <w:tcW w:w="485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1,572</w:t>
            </w:r>
          </w:p>
        </w:tc>
        <w:tc>
          <w:tcPr>
            <w:tcW w:w="75" w:type="dxa"/>
            <w:tcBorders/>
            <w:shd w:fill="FFFFFF" w:val="clear"/>
            <w:vAlign w:val="center"/>
          </w:tcPr>
          <w:p>
            <w:pPr>
              <w:pStyle w:val="TableContents"/>
              <w:bidi w:val="0"/>
              <w:spacing w:before="0" w:after="283"/>
              <w:jc w:val="left"/>
              <w:rPr/>
            </w:pPr>
            <w:r>
              <w:rPr/>
              <w:t> </w:t>
            </w:r>
            <w:bookmarkStart w:id="41" w:name="xdx_405_eus-gaap--NontradeReceivablesCur"/>
            <w:bookmarkEnd w:id="41"/>
          </w:p>
        </w:tc>
      </w:tr>
      <w:tr>
        <w:trPr/>
        <w:tc>
          <w:tcPr>
            <w:tcW w:w="48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682</w:t>
            </w:r>
          </w:p>
        </w:tc>
        <w:tc>
          <w:tcPr>
            <w:tcW w:w="75" w:type="dxa"/>
            <w:tcBorders/>
            <w:shd w:fill="CCEEFF" w:val="clear"/>
            <w:vAlign w:val="center"/>
          </w:tcPr>
          <w:p>
            <w:pPr>
              <w:pStyle w:val="TableContents"/>
              <w:bidi w:val="0"/>
              <w:spacing w:before="0" w:after="283"/>
              <w:jc w:val="left"/>
              <w:rPr/>
            </w:pPr>
            <w:r>
              <w:rPr/>
              <w:t> </w:t>
            </w:r>
            <w:bookmarkStart w:id="42" w:name="xdx_407_eus-gaap--PrepaidExpenseCurrent_"/>
            <w:bookmarkEnd w:id="42"/>
          </w:p>
        </w:tc>
      </w:tr>
      <w:tr>
        <w:trPr/>
        <w:tc>
          <w:tcPr>
            <w:tcW w:w="485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1,060</w:t>
            </w:r>
          </w:p>
        </w:tc>
        <w:tc>
          <w:tcPr>
            <w:tcW w:w="75" w:type="dxa"/>
            <w:tcBorders/>
            <w:shd w:fill="FFFFFF" w:val="clear"/>
            <w:vAlign w:val="center"/>
          </w:tcPr>
          <w:p>
            <w:pPr>
              <w:pStyle w:val="TableContents"/>
              <w:bidi w:val="0"/>
              <w:spacing w:before="0" w:after="283"/>
              <w:jc w:val="left"/>
              <w:rPr/>
            </w:pPr>
            <w:r>
              <w:rPr/>
              <w:t> </w:t>
            </w:r>
            <w:bookmarkStart w:id="43" w:name="xdx_40C_eus-gaap--InventoryNet_i02I_maCz"/>
            <w:bookmarkEnd w:id="43"/>
          </w:p>
        </w:tc>
      </w:tr>
      <w:tr>
        <w:trPr/>
        <w:tc>
          <w:tcPr>
            <w:tcW w:w="4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3,607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2,570</w:t>
            </w:r>
          </w:p>
        </w:tc>
        <w:tc>
          <w:tcPr>
            <w:tcW w:w="75" w:type="dxa"/>
            <w:tcBorders/>
            <w:shd w:fill="CCEEFF" w:val="clear"/>
            <w:vAlign w:val="center"/>
          </w:tcPr>
          <w:p>
            <w:pPr>
              <w:pStyle w:val="TableContents"/>
              <w:bidi w:val="0"/>
              <w:spacing w:before="0" w:after="283"/>
              <w:jc w:val="left"/>
              <w:rPr/>
            </w:pPr>
            <w:r>
              <w:rPr/>
              <w:t> </w:t>
            </w:r>
            <w:bookmarkStart w:id="44" w:name="xdx_406_eus-gaap--AssetsCurrent_i02TI_mt"/>
            <w:bookmarkEnd w:id="44"/>
          </w:p>
        </w:tc>
      </w:tr>
      <w:tr>
        <w:trPr/>
        <w:tc>
          <w:tcPr>
            <w:tcW w:w="485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70,391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40,521</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5" w:name="xdx_408_eus-gaap--AssetsNoncurrentAbstra"/>
            <w:bookmarkEnd w:id="45"/>
          </w:p>
        </w:tc>
      </w:tr>
      <w:tr>
        <w:trPr/>
        <w:tc>
          <w:tcPr>
            <w:tcW w:w="485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 w:name="xdx_402_eus-gaap--DepositsAssetsNoncurre"/>
            <w:bookmarkEnd w:id="46"/>
          </w:p>
        </w:tc>
      </w:tr>
      <w:tr>
        <w:trPr/>
        <w:tc>
          <w:tcPr>
            <w:tcW w:w="4850" w:type="dxa"/>
            <w:tcBorders/>
            <w:shd w:fill="CCEEFF" w:val="clear"/>
            <w:vAlign w:val="center"/>
          </w:tcPr>
          <w:p>
            <w:pPr>
              <w:pStyle w:val="TableContents"/>
              <w:bidi w:val="0"/>
              <w:spacing w:before="0" w:after="283"/>
              <w:jc w:val="left"/>
              <w:rPr/>
            </w:pPr>
            <w:r>
              <w:rPr/>
              <w:t>    </w:t>
            </w:r>
            <w:r>
              <w:rPr/>
              <w:t>Long term deposit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426</w:t>
            </w:r>
          </w:p>
        </w:tc>
        <w:tc>
          <w:tcPr>
            <w:tcW w:w="75" w:type="dxa"/>
            <w:tcBorders/>
            <w:shd w:fill="CCEEFF" w:val="clear"/>
            <w:vAlign w:val="center"/>
          </w:tcPr>
          <w:p>
            <w:pPr>
              <w:pStyle w:val="TableContents"/>
              <w:bidi w:val="0"/>
              <w:spacing w:before="0" w:after="283"/>
              <w:jc w:val="left"/>
              <w:rPr/>
            </w:pPr>
            <w:r>
              <w:rPr/>
              <w:t> </w:t>
            </w:r>
            <w:bookmarkStart w:id="47" w:name="xdx_408_eus-gaap--PropertyPlantAndEquipm"/>
            <w:bookmarkEnd w:id="47"/>
          </w:p>
        </w:tc>
      </w:tr>
      <w:tr>
        <w:trPr/>
        <w:tc>
          <w:tcPr>
            <w:tcW w:w="485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2,371</w:t>
            </w:r>
          </w:p>
        </w:tc>
        <w:tc>
          <w:tcPr>
            <w:tcW w:w="75" w:type="dxa"/>
            <w:tcBorders/>
            <w:shd w:fill="FFFFFF" w:val="clear"/>
            <w:vAlign w:val="center"/>
          </w:tcPr>
          <w:p>
            <w:pPr>
              <w:pStyle w:val="TableContents"/>
              <w:bidi w:val="0"/>
              <w:spacing w:before="0" w:after="283"/>
              <w:jc w:val="left"/>
              <w:rPr/>
            </w:pPr>
            <w:r>
              <w:rPr/>
              <w:t> </w:t>
            </w:r>
            <w:bookmarkStart w:id="48" w:name="xdx_40A_eus-gaap--OperatingLeaseRightOfU"/>
            <w:bookmarkEnd w:id="48"/>
          </w:p>
        </w:tc>
      </w:tr>
      <w:tr>
        <w:trPr/>
        <w:tc>
          <w:tcPr>
            <w:tcW w:w="4850" w:type="dxa"/>
            <w:tcBorders/>
            <w:shd w:fill="CCEEFF" w:val="clear"/>
            <w:vAlign w:val="center"/>
          </w:tcPr>
          <w:p>
            <w:pPr>
              <w:pStyle w:val="TableContents"/>
              <w:bidi w:val="0"/>
              <w:spacing w:before="0" w:after="283"/>
              <w:jc w:val="left"/>
              <w:rPr/>
            </w:pPr>
            <w:r>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2,915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bookmarkStart w:id="49" w:name="xdx_40D_eus-gaap--DefinedBenefitPlanAsse"/>
            <w:bookmarkEnd w:id="49"/>
          </w:p>
        </w:tc>
      </w:tr>
      <w:tr>
        <w:trPr/>
        <w:tc>
          <w:tcPr>
            <w:tcW w:w="4850" w:type="dxa"/>
            <w:tcBorders/>
            <w:shd w:fill="FFFFFF" w:val="clear"/>
            <w:vAlign w:val="center"/>
          </w:tcPr>
          <w:p>
            <w:pPr>
              <w:pStyle w:val="TableContents"/>
              <w:bidi w:val="0"/>
              <w:spacing w:before="0" w:after="283"/>
              <w:jc w:val="left"/>
              <w:rPr/>
            </w:pPr>
            <w:r>
              <w:rPr/>
              <w:t>Fund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1,325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1,129</w:t>
            </w:r>
          </w:p>
        </w:tc>
        <w:tc>
          <w:tcPr>
            <w:tcW w:w="75" w:type="dxa"/>
            <w:tcBorders/>
            <w:shd w:fill="FFFFFF" w:val="clear"/>
            <w:vAlign w:val="center"/>
          </w:tcPr>
          <w:p>
            <w:pPr>
              <w:pStyle w:val="TableContents"/>
              <w:bidi w:val="0"/>
              <w:spacing w:before="0" w:after="283"/>
              <w:jc w:val="left"/>
              <w:rPr/>
            </w:pPr>
            <w:r>
              <w:rPr/>
              <w:t> </w:t>
            </w:r>
            <w:bookmarkStart w:id="50" w:name="xdx_40A_eus-gaap--AssetsNoncurrent_i02TI"/>
            <w:bookmarkEnd w:id="50"/>
          </w:p>
        </w:tc>
      </w:tr>
      <w:tr>
        <w:trPr/>
        <w:tc>
          <w:tcPr>
            <w:tcW w:w="485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8,081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6,286</w:t>
            </w:r>
          </w:p>
        </w:tc>
        <w:tc>
          <w:tcPr>
            <w:tcW w:w="75" w:type="dxa"/>
            <w:tcBorders/>
            <w:shd w:fill="CCEEFF" w:val="clear"/>
            <w:vAlign w:val="center"/>
          </w:tcPr>
          <w:p>
            <w:pPr>
              <w:pStyle w:val="TableContents"/>
              <w:bidi w:val="0"/>
              <w:spacing w:before="0" w:after="283"/>
              <w:jc w:val="left"/>
              <w:rPr/>
            </w:pPr>
            <w:r>
              <w:rPr/>
              <w:t> </w:t>
            </w:r>
            <w:bookmarkStart w:id="51" w:name="xdx_40E_eus-gaap--Assets_i01TI_mtCzvT1_z"/>
            <w:bookmarkEnd w:id="51"/>
          </w:p>
        </w:tc>
      </w:tr>
      <w:tr>
        <w:trPr/>
        <w:tc>
          <w:tcPr>
            <w:tcW w:w="485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78,472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46,807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other than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1"/>
        <w:gridCol w:w="60"/>
        <w:gridCol w:w="165"/>
        <w:gridCol w:w="1043"/>
        <w:gridCol w:w="95"/>
        <w:gridCol w:w="60"/>
        <w:gridCol w:w="157"/>
        <w:gridCol w:w="991"/>
        <w:gridCol w:w="113"/>
      </w:tblGrid>
      <w:tr>
        <w:trPr/>
        <w:tc>
          <w:tcPr>
            <w:tcW w:w="75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8"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8"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center"/>
              <w:rPr/>
            </w:pPr>
            <w:r>
              <w:rPr/>
              <w:t> </w:t>
            </w:r>
          </w:p>
        </w:tc>
      </w:tr>
      <w:tr>
        <w:trPr/>
        <w:tc>
          <w:tcPr>
            <w:tcW w:w="75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center"/>
              <w:rPr/>
            </w:pPr>
            <w:r>
              <w:rPr/>
              <w:t> </w:t>
            </w:r>
            <w:bookmarkStart w:id="52" w:name="xdx_408_eus-gaap--LiabilitiesAndStockhol"/>
            <w:bookmarkEnd w:id="52"/>
          </w:p>
        </w:tc>
      </w:tr>
      <w:tr>
        <w:trPr/>
        <w:tc>
          <w:tcPr>
            <w:tcW w:w="7521" w:type="dxa"/>
            <w:tcBorders/>
            <w:shd w:fill="CCEEFF" w:val="clear"/>
            <w:vAlign w:val="center"/>
          </w:tcPr>
          <w:p>
            <w:pPr>
              <w:pStyle w:val="TableContents"/>
              <w:bidi w:val="0"/>
              <w:spacing w:before="0" w:after="283"/>
              <w:jc w:val="center"/>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B_eus-gaap--LiabilitiesCurrentAbst"/>
            <w:bookmarkEnd w:id="53"/>
          </w:p>
        </w:tc>
      </w:tr>
      <w:tr>
        <w:trPr/>
        <w:tc>
          <w:tcPr>
            <w:tcW w:w="7521"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4" w:name="xdx_409_eus-gaap--AccountsPayableAndAccr"/>
            <w:bookmarkEnd w:id="54"/>
          </w:p>
        </w:tc>
      </w:tr>
      <w:tr>
        <w:trPr/>
        <w:tc>
          <w:tcPr>
            <w:tcW w:w="7521"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5" w:name="xdx_40C_eus-gaap--AccountsPayableTradeCu"/>
            <w:bookmarkEnd w:id="55"/>
          </w:p>
        </w:tc>
      </w:tr>
      <w:tr>
        <w:trPr/>
        <w:tc>
          <w:tcPr>
            <w:tcW w:w="7521"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1,254</w:t>
            </w:r>
          </w:p>
        </w:tc>
        <w:tc>
          <w:tcPr>
            <w:tcW w:w="113" w:type="dxa"/>
            <w:tcBorders/>
            <w:shd w:fill="CCEEFF" w:val="clear"/>
            <w:vAlign w:val="center"/>
          </w:tcPr>
          <w:p>
            <w:pPr>
              <w:pStyle w:val="TableContents"/>
              <w:bidi w:val="0"/>
              <w:spacing w:before="0" w:after="283"/>
              <w:jc w:val="left"/>
              <w:rPr/>
            </w:pPr>
            <w:r>
              <w:rPr/>
              <w:t> </w:t>
            </w:r>
            <w:bookmarkStart w:id="56" w:name="xdx_40E_eus-gaap--AccountsPayableOtherCu"/>
            <w:bookmarkEnd w:id="56"/>
          </w:p>
        </w:tc>
      </w:tr>
      <w:tr>
        <w:trPr/>
        <w:tc>
          <w:tcPr>
            <w:tcW w:w="7521"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9,063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6,424</w:t>
            </w:r>
          </w:p>
        </w:tc>
        <w:tc>
          <w:tcPr>
            <w:tcW w:w="113" w:type="dxa"/>
            <w:tcBorders/>
            <w:shd w:fill="FFFFFF" w:val="clear"/>
            <w:vAlign w:val="center"/>
          </w:tcPr>
          <w:p>
            <w:pPr>
              <w:pStyle w:val="TableContents"/>
              <w:bidi w:val="0"/>
              <w:spacing w:before="0" w:after="283"/>
              <w:jc w:val="left"/>
              <w:rPr/>
            </w:pPr>
            <w:r>
              <w:rPr/>
              <w:t> </w:t>
            </w:r>
            <w:bookmarkStart w:id="57" w:name="xdx_407_eus-gaap--LiabilitiesCurrent_i02"/>
            <w:bookmarkEnd w:id="57"/>
          </w:p>
        </w:tc>
      </w:tr>
      <w:tr>
        <w:trPr/>
        <w:tc>
          <w:tcPr>
            <w:tcW w:w="7521"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10,816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7,678</w:t>
            </w:r>
          </w:p>
        </w:tc>
        <w:tc>
          <w:tcPr>
            <w:tcW w:w="113" w:type="dxa"/>
            <w:tcBorders/>
            <w:shd w:fill="CCEEFF" w:val="clear"/>
            <w:vAlign w:val="center"/>
          </w:tcPr>
          <w:p>
            <w:pPr>
              <w:pStyle w:val="TableContents"/>
              <w:bidi w:val="0"/>
              <w:spacing w:before="0" w:after="283"/>
              <w:jc w:val="left"/>
              <w:rPr/>
            </w:pPr>
            <w:r>
              <w:rPr/>
              <w:t> </w:t>
            </w:r>
          </w:p>
        </w:tc>
      </w:tr>
      <w:tr>
        <w:trPr/>
        <w:tc>
          <w:tcPr>
            <w:tcW w:w="7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8" w:name="xdx_407_eus-gaap--LiabilitiesNoncurrentA"/>
            <w:bookmarkEnd w:id="58"/>
          </w:p>
        </w:tc>
      </w:tr>
      <w:tr>
        <w:trPr/>
        <w:tc>
          <w:tcPr>
            <w:tcW w:w="7521"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9" w:name="xdx_402_eus-gaap--OperatingLeaseLiabilit"/>
            <w:bookmarkEnd w:id="59"/>
          </w:p>
        </w:tc>
      </w:tr>
      <w:tr>
        <w:trPr/>
        <w:tc>
          <w:tcPr>
            <w:tcW w:w="7521" w:type="dxa"/>
            <w:tcBorders/>
            <w:shd w:fill="FFFFFF" w:val="clear"/>
            <w:vAlign w:val="center"/>
          </w:tcPr>
          <w:p>
            <w:pPr>
              <w:pStyle w:val="TableContents"/>
              <w:bidi w:val="0"/>
              <w:spacing w:before="0" w:after="283"/>
              <w:jc w:val="left"/>
              <w:rPr/>
            </w:pPr>
            <w:r>
              <w:rPr/>
              <w:t>Operating lease liabilities net of current maturities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2,367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1,796</w:t>
            </w:r>
          </w:p>
        </w:tc>
        <w:tc>
          <w:tcPr>
            <w:tcW w:w="113" w:type="dxa"/>
            <w:tcBorders/>
            <w:shd w:fill="FFFFFF" w:val="clear"/>
            <w:vAlign w:val="center"/>
          </w:tcPr>
          <w:p>
            <w:pPr>
              <w:pStyle w:val="TableContents"/>
              <w:bidi w:val="0"/>
              <w:spacing w:before="0" w:after="283"/>
              <w:jc w:val="left"/>
              <w:rPr/>
            </w:pPr>
            <w:r>
              <w:rPr/>
              <w:t> </w:t>
            </w:r>
            <w:bookmarkStart w:id="60" w:name="xdx_40A_eus-gaap--PensionAndOtherPostret"/>
            <w:bookmarkEnd w:id="60"/>
          </w:p>
        </w:tc>
      </w:tr>
      <w:tr>
        <w:trPr/>
        <w:tc>
          <w:tcPr>
            <w:tcW w:w="7521" w:type="dxa"/>
            <w:tcBorders/>
            <w:shd w:fill="CCEEFF" w:val="clear"/>
            <w:vAlign w:val="center"/>
          </w:tcPr>
          <w:p>
            <w:pPr>
              <w:pStyle w:val="TableContents"/>
              <w:bidi w:val="0"/>
              <w:spacing w:before="0" w:after="283"/>
              <w:jc w:val="left"/>
              <w:rPr/>
            </w:pPr>
            <w:r>
              <w:rPr/>
              <w:t>Liability for employees’ rights upon retirement and others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1,175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1,247</w:t>
            </w:r>
          </w:p>
        </w:tc>
        <w:tc>
          <w:tcPr>
            <w:tcW w:w="113" w:type="dxa"/>
            <w:tcBorders/>
            <w:shd w:fill="CCEEFF" w:val="clear"/>
            <w:vAlign w:val="center"/>
          </w:tcPr>
          <w:p>
            <w:pPr>
              <w:pStyle w:val="TableContents"/>
              <w:bidi w:val="0"/>
              <w:spacing w:before="0" w:after="283"/>
              <w:jc w:val="left"/>
              <w:rPr/>
            </w:pPr>
            <w:r>
              <w:rPr/>
              <w:t> </w:t>
            </w:r>
          </w:p>
        </w:tc>
      </w:tr>
      <w:tr>
        <w:trPr/>
        <w:tc>
          <w:tcPr>
            <w:tcW w:w="7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1" w:name="xdx_406_eus-gaap--LiabilitiesNoncurrent_"/>
            <w:bookmarkEnd w:id="61"/>
          </w:p>
        </w:tc>
      </w:tr>
      <w:tr>
        <w:trPr/>
        <w:tc>
          <w:tcPr>
            <w:tcW w:w="7521"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3,043</w:t>
            </w:r>
          </w:p>
        </w:tc>
        <w:tc>
          <w:tcPr>
            <w:tcW w:w="113" w:type="dxa"/>
            <w:tcBorders/>
            <w:shd w:fill="CCEEFF" w:val="clear"/>
            <w:vAlign w:val="center"/>
          </w:tcPr>
          <w:p>
            <w:pPr>
              <w:pStyle w:val="TableContents"/>
              <w:bidi w:val="0"/>
              <w:spacing w:before="0" w:after="283"/>
              <w:jc w:val="left"/>
              <w:rPr/>
            </w:pPr>
            <w:r>
              <w:rPr/>
              <w:t> </w:t>
            </w:r>
          </w:p>
        </w:tc>
      </w:tr>
      <w:tr>
        <w:trPr/>
        <w:tc>
          <w:tcPr>
            <w:tcW w:w="7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A_eus-gaap--Liabilities_i01TI_mtCz"/>
            <w:bookmarkEnd w:id="62"/>
          </w:p>
        </w:tc>
      </w:tr>
      <w:tr>
        <w:trPr/>
        <w:tc>
          <w:tcPr>
            <w:tcW w:w="752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14,358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10,721</w:t>
            </w:r>
          </w:p>
        </w:tc>
        <w:tc>
          <w:tcPr>
            <w:tcW w:w="113" w:type="dxa"/>
            <w:tcBorders/>
            <w:shd w:fill="CCEEFF" w:val="clear"/>
            <w:vAlign w:val="center"/>
          </w:tcPr>
          <w:p>
            <w:pPr>
              <w:pStyle w:val="TableContents"/>
              <w:bidi w:val="0"/>
              <w:spacing w:before="0" w:after="283"/>
              <w:jc w:val="left"/>
              <w:rPr/>
            </w:pPr>
            <w:r>
              <w:rPr/>
              <w:t> </w:t>
            </w:r>
            <w:bookmarkStart w:id="63" w:name="xdx_40C_eus-gaap--CommitmentsAndContinge"/>
            <w:bookmarkEnd w:id="63"/>
          </w:p>
        </w:tc>
      </w:tr>
      <w:tr>
        <w:trPr/>
        <w:tc>
          <w:tcPr>
            <w:tcW w:w="7521" w:type="dxa"/>
            <w:tcBorders/>
            <w:shd w:fill="FFFFFF" w:val="clear"/>
            <w:vAlign w:val="center"/>
          </w:tcPr>
          <w:p>
            <w:pPr>
              <w:pStyle w:val="TableContents"/>
              <w:bidi w:val="0"/>
              <w:spacing w:before="0" w:after="283"/>
              <w:jc w:val="left"/>
              <w:rPr>
                <w:b/>
              </w:rPr>
            </w:pPr>
            <w:r>
              <w:rPr>
                <w:b/>
              </w:rPr>
              <w:t>COMMITMENTS AND CONTINGENT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64" w:name="xdx_404_eus-gaap--StockholdersEquityAbst"/>
            <w:bookmarkEnd w:id="64"/>
          </w:p>
        </w:tc>
      </w:tr>
      <w:tr>
        <w:trPr/>
        <w:tc>
          <w:tcPr>
            <w:tcW w:w="7521"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5" w:name="xdx_40F_eus-gaap--CommonStockValue_i02I_"/>
            <w:bookmarkEnd w:id="65"/>
          </w:p>
        </w:tc>
      </w:tr>
      <w:tr>
        <w:trPr/>
        <w:tc>
          <w:tcPr>
            <w:tcW w:w="7521" w:type="dxa"/>
            <w:tcBorders/>
            <w:shd w:fill="CCEEFF" w:val="clear"/>
            <w:vAlign w:val="center"/>
          </w:tcPr>
          <w:p>
            <w:pPr>
              <w:pStyle w:val="TableContents"/>
              <w:bidi w:val="0"/>
              <w:spacing w:before="0" w:after="283"/>
              <w:jc w:val="left"/>
              <w:rPr/>
            </w:pPr>
            <w:r>
              <w:rPr/>
              <w:t>Common stock, par value $</w:t>
            </w:r>
            <w:bookmarkStart w:id="66" w:name="xdx_90F_eus-gaap--CommonStockParOrStated"/>
            <w:bookmarkStart w:id="67" w:name="xdx_90E_eus-gaap--CommonStockParOrStated"/>
            <w:bookmarkEnd w:id="66"/>
            <w:bookmarkEnd w:id="67"/>
            <w:r>
              <w:rPr/>
              <w:t xml:space="preserve">0.0001 per share; </w:t>
            </w:r>
            <w:bookmarkStart w:id="68" w:name="xdx_905_eus-gaap--CommonStockSharesAutho"/>
            <w:bookmarkStart w:id="69" w:name="xdx_902_eus-gaap--CommonStockSharesAutho"/>
            <w:bookmarkEnd w:id="68"/>
            <w:bookmarkEnd w:id="69"/>
            <w:r>
              <w:rPr/>
              <w:t xml:space="preserve">150,000,000 shares authorized at September 30, 2025 and December 31, 2024; </w:t>
            </w:r>
            <w:bookmarkStart w:id="70" w:name="xdx_90A_eus-gaap--CommonStockSharesOutst"/>
            <w:bookmarkStart w:id="71" w:name="xdx_90A_eus-gaap--CommonStockSharesIssue"/>
            <w:bookmarkEnd w:id="70"/>
            <w:bookmarkEnd w:id="71"/>
            <w:r>
              <w:rPr/>
              <w:t xml:space="preserve">41,919,141 and </w:t>
            </w:r>
            <w:bookmarkStart w:id="72" w:name="xdx_90A_eus-gaap--CommonStockSharesOutst"/>
            <w:bookmarkStart w:id="73" w:name="xdx_907_eus-gaap--CommonStockSharesIssue"/>
            <w:bookmarkEnd w:id="72"/>
            <w:bookmarkEnd w:id="73"/>
            <w:r>
              <w:rPr/>
              <w:t>26,611,033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jc w:val="left"/>
              <w:rPr/>
            </w:pPr>
            <w:r>
              <w:rPr/>
              <w:t> </w:t>
            </w:r>
            <w:bookmarkStart w:id="74" w:name="xdx_40A_eus-gaap--PreferredStockValue_i0"/>
            <w:bookmarkEnd w:id="74"/>
          </w:p>
        </w:tc>
      </w:tr>
      <w:tr>
        <w:trPr/>
        <w:tc>
          <w:tcPr>
            <w:tcW w:w="7521" w:type="dxa"/>
            <w:tcBorders/>
            <w:shd w:fill="FFFFFF" w:val="clear"/>
            <w:vAlign w:val="center"/>
          </w:tcPr>
          <w:p>
            <w:pPr>
              <w:pStyle w:val="TableContents"/>
              <w:bidi w:val="0"/>
              <w:spacing w:before="0" w:after="283"/>
              <w:jc w:val="left"/>
              <w:rPr/>
            </w:pPr>
            <w:r>
              <w:rPr/>
              <w:t>Preferred C shares, par value $</w:t>
            </w:r>
            <w:bookmarkStart w:id="75" w:name="xdx_90D_eus-gaap--PreferredStockParOrSta"/>
            <w:bookmarkStart w:id="76" w:name="xdx_90F_eus-gaap--PreferredStockParOrSta"/>
            <w:bookmarkEnd w:id="75"/>
            <w:bookmarkEnd w:id="76"/>
            <w:r>
              <w:rPr/>
              <w:t xml:space="preserve">0.0001 per share; </w:t>
              <w:br/>
            </w:r>
            <w:bookmarkStart w:id="77" w:name="xdx_905_eus-gaap--PreferredStockSharesAu"/>
            <w:bookmarkStart w:id="78" w:name="xdx_902_eus-gaap--PreferredStockSharesAu"/>
            <w:bookmarkEnd w:id="77"/>
            <w:bookmarkEnd w:id="78"/>
            <w:r>
              <w:rPr/>
              <w:t xml:space="preserve">1,172,000 shares authorized at September 30, 2025 and December 31, 2024; </w:t>
            </w:r>
            <w:bookmarkStart w:id="79" w:name="xdx_90E_eus-gaap--PreferredStockSharesOu"/>
            <w:bookmarkStart w:id="80" w:name="xdx_900_eus-gaap--PreferredStockSharesIs"/>
            <w:bookmarkStart w:id="81" w:name="xdx_907_eus-gaap--PreferredStockSharesOu"/>
            <w:bookmarkStart w:id="82" w:name="xdx_901_eus-gaap--PreferredStockSharesIs"/>
            <w:bookmarkEnd w:id="79"/>
            <w:bookmarkEnd w:id="80"/>
            <w:bookmarkEnd w:id="81"/>
            <w:bookmarkEnd w:id="82"/>
            <w:r>
              <w:rPr/>
              <w:t>1,718 shares issued and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83" w:name="xdx_F26_zcBh2SnCmiza"/>
            <w:bookmarkEnd w:id="83"/>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84" w:name="xdx_F2C_zFgxLGLENTw"/>
            <w:bookmarkEnd w:id="84"/>
            <w:r>
              <w:rPr>
                <w:rFonts w:ascii="Times New Roman;Times;Serif" w:hAnsi="Times New Roman;Times;Serif"/>
                <w:sz w:val="20"/>
              </w:rPr>
              <w:t>*  </w:t>
            </w:r>
          </w:p>
        </w:tc>
        <w:tc>
          <w:tcPr>
            <w:tcW w:w="113" w:type="dxa"/>
            <w:tcBorders/>
            <w:shd w:fill="FFFFFF" w:val="clear"/>
            <w:vAlign w:val="center"/>
          </w:tcPr>
          <w:p>
            <w:pPr>
              <w:pStyle w:val="TableContents"/>
              <w:bidi w:val="0"/>
              <w:spacing w:before="0" w:after="283"/>
              <w:jc w:val="left"/>
              <w:rPr/>
            </w:pPr>
            <w:r>
              <w:rPr/>
              <w:t> </w:t>
            </w:r>
            <w:bookmarkStart w:id="85" w:name="xdx_40C_eus-gaap--AdditionalPaidInCapita"/>
            <w:bookmarkEnd w:id="85"/>
          </w:p>
        </w:tc>
      </w:tr>
      <w:tr>
        <w:trPr/>
        <w:tc>
          <w:tcPr>
            <w:tcW w:w="752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354,641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289,589</w:t>
            </w:r>
          </w:p>
        </w:tc>
        <w:tc>
          <w:tcPr>
            <w:tcW w:w="113" w:type="dxa"/>
            <w:tcBorders/>
            <w:shd w:fill="CCEEFF" w:val="clear"/>
            <w:vAlign w:val="center"/>
          </w:tcPr>
          <w:p>
            <w:pPr>
              <w:pStyle w:val="TableContents"/>
              <w:bidi w:val="0"/>
              <w:spacing w:before="0" w:after="283"/>
              <w:jc w:val="left"/>
              <w:rPr/>
            </w:pPr>
            <w:r>
              <w:rPr/>
              <w:t> </w:t>
            </w:r>
            <w:bookmarkStart w:id="86" w:name="xdx_40E_eus-gaap--RetainedEarningsAccumu"/>
            <w:bookmarkEnd w:id="86"/>
          </w:p>
        </w:tc>
      </w:tr>
      <w:tr>
        <w:trPr/>
        <w:tc>
          <w:tcPr>
            <w:tcW w:w="752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(290,531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(253,506</w:t>
            </w:r>
          </w:p>
        </w:tc>
        <w:tc>
          <w:tcPr>
            <w:tcW w:w="113" w:type="dxa"/>
            <w:tcBorders/>
            <w:shd w:fill="FFFFFF" w:val="clear"/>
            <w:vAlign w:val="center"/>
          </w:tcPr>
          <w:p>
            <w:pPr>
              <w:pStyle w:val="TableContents"/>
              <w:bidi w:val="0"/>
              <w:spacing w:before="0" w:after="283"/>
              <w:jc w:val="left"/>
              <w:rPr/>
            </w:pPr>
            <w:r>
              <w:rPr/>
              <w:t>)</w:t>
            </w:r>
            <w:bookmarkStart w:id="87" w:name="xdx_404_eus-gaap--StockholdersEquity_i02"/>
            <w:bookmarkEnd w:id="87"/>
          </w:p>
        </w:tc>
      </w:tr>
      <w:tr>
        <w:trPr/>
        <w:tc>
          <w:tcPr>
            <w:tcW w:w="7521"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r>
              <w:rPr/>
              <w:t>64,114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36,086</w:t>
            </w:r>
          </w:p>
        </w:tc>
        <w:tc>
          <w:tcPr>
            <w:tcW w:w="113" w:type="dxa"/>
            <w:tcBorders/>
            <w:shd w:fill="CCEEFF" w:val="clear"/>
            <w:vAlign w:val="center"/>
          </w:tcPr>
          <w:p>
            <w:pPr>
              <w:pStyle w:val="TableContents"/>
              <w:bidi w:val="0"/>
              <w:spacing w:before="0" w:after="283"/>
              <w:jc w:val="left"/>
              <w:rPr/>
            </w:pPr>
            <w:r>
              <w:rPr/>
              <w:t> </w:t>
            </w:r>
            <w:bookmarkStart w:id="88" w:name="xdx_404_eus-gaap--LiabilitiesAndStockhol"/>
            <w:bookmarkEnd w:id="88"/>
          </w:p>
        </w:tc>
      </w:tr>
      <w:tr>
        <w:trPr/>
        <w:tc>
          <w:tcPr>
            <w:tcW w:w="7521"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pPr>
            <w:r>
              <w:rPr/>
              <w:t>78,472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pPr>
            <w:r>
              <w:rPr/>
              <w:t>46,807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89" w:name="xdx_F03_zzlj0FRODhzf"/>
            <w:bookmarkEnd w:id="89"/>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90" w:name="xdx_F1E_z4P81Vtq2e4a"/>
            <w:bookmarkEnd w:id="90"/>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Rma_002"/>
      <w:bookmarkEnd w:id="91"/>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A_113_pn3n3_zthl0hjPtfac"/>
      <w:bookmarkStart w:id="93" w:name="xdx_30A_113_pn3n3_zthl0hjPtfac"/>
      <w:bookmarkEnd w:id="93"/>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C_20250701__20250930_zubimkgoUVSk"/>
            <w:bookmarkEnd w:id="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2_20240701__20240930_zouqGb8EFr11"/>
            <w:bookmarkEnd w:id="9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6_20250101__20250930_zKgbRFjCK9Y2"/>
            <w:bookmarkEnd w:id="9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9D_20240101__20240930_ztqrpxHTdhm3"/>
            <w:bookmarkEnd w:id="9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98" w:name="xdx_405_eus-gaap--RevenueFromContractWit"/>
            <w:bookmarkEnd w:id="98"/>
          </w:p>
        </w:tc>
      </w:tr>
      <w:tr>
        <w:trPr/>
        <w:tc>
          <w:tcPr>
            <w:tcW w:w="46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5,060</w:t>
            </w:r>
          </w:p>
        </w:tc>
        <w:tc>
          <w:tcPr>
            <w:tcW w:w="110" w:type="dxa"/>
            <w:tcBorders/>
            <w:shd w:fill="CCEEFF" w:val="clear"/>
            <w:vAlign w:val="center"/>
          </w:tcPr>
          <w:p>
            <w:pPr>
              <w:pStyle w:val="TableContents"/>
              <w:bidi w:val="0"/>
              <w:spacing w:before="0" w:after="283"/>
              <w:jc w:val="left"/>
              <w:rPr/>
            </w:pPr>
            <w:r>
              <w:rPr/>
              <w:t> </w:t>
            </w:r>
            <w:bookmarkStart w:id="99" w:name="xdx_40E_eus-gaap--CostOfGoodsAndServices"/>
            <w:bookmarkEnd w:id="99"/>
          </w:p>
        </w:tc>
      </w:tr>
      <w:tr>
        <w:trPr/>
        <w:tc>
          <w:tcPr>
            <w:tcW w:w="461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4,023</w:t>
            </w:r>
          </w:p>
        </w:tc>
        <w:tc>
          <w:tcPr>
            <w:tcW w:w="110" w:type="dxa"/>
            <w:tcBorders/>
            <w:shd w:fill="FFFFFF" w:val="clear"/>
            <w:vAlign w:val="center"/>
          </w:tcPr>
          <w:p>
            <w:pPr>
              <w:pStyle w:val="TableContents"/>
              <w:bidi w:val="0"/>
              <w:spacing w:before="0" w:after="283"/>
              <w:jc w:val="left"/>
              <w:rPr/>
            </w:pPr>
            <w:r>
              <w:rPr/>
              <w:t> </w:t>
            </w:r>
            <w:bookmarkStart w:id="100" w:name="xdx_403_eus-gaap--GrossProfit_iT_mtCzEhV"/>
            <w:bookmarkEnd w:id="100"/>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1,037</w:t>
            </w:r>
          </w:p>
        </w:tc>
        <w:tc>
          <w:tcPr>
            <w:tcW w:w="110" w:type="dxa"/>
            <w:tcBorders/>
            <w:shd w:fill="CCEEFF" w:val="clear"/>
            <w:vAlign w:val="center"/>
          </w:tcPr>
          <w:p>
            <w:pPr>
              <w:pStyle w:val="TableContents"/>
              <w:bidi w:val="0"/>
              <w:spacing w:before="0" w:after="283"/>
              <w:jc w:val="left"/>
              <w:rPr/>
            </w:pPr>
            <w:r>
              <w:rPr/>
              <w:t> </w:t>
            </w:r>
            <w:bookmarkStart w:id="101" w:name="xdx_40F_eus-gaap--OperatingExpensesAbstr"/>
            <w:bookmarkEnd w:id="101"/>
          </w:p>
        </w:tc>
      </w:tr>
      <w:tr>
        <w:trPr/>
        <w:tc>
          <w:tcPr>
            <w:tcW w:w="46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 w:name="xdx_40D_eus-gaap--ResearchAndDevelopment"/>
            <w:bookmarkEnd w:id="102"/>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9,941</w:t>
            </w:r>
          </w:p>
        </w:tc>
        <w:tc>
          <w:tcPr>
            <w:tcW w:w="110" w:type="dxa"/>
            <w:tcBorders/>
            <w:shd w:fill="CCEEFF" w:val="clear"/>
            <w:vAlign w:val="center"/>
          </w:tcPr>
          <w:p>
            <w:pPr>
              <w:pStyle w:val="TableContents"/>
              <w:bidi w:val="0"/>
              <w:spacing w:before="0" w:after="283"/>
              <w:jc w:val="left"/>
              <w:rPr/>
            </w:pPr>
            <w:r>
              <w:rPr/>
              <w:t> </w:t>
            </w:r>
            <w:bookmarkStart w:id="103" w:name="xdx_401_eus-gaap--SellingAndMarketingExp"/>
            <w:bookmarkEnd w:id="103"/>
          </w:p>
        </w:tc>
      </w:tr>
      <w:tr>
        <w:trPr/>
        <w:tc>
          <w:tcPr>
            <w:tcW w:w="46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4,154</w:t>
            </w:r>
          </w:p>
        </w:tc>
        <w:tc>
          <w:tcPr>
            <w:tcW w:w="110" w:type="dxa"/>
            <w:tcBorders/>
            <w:shd w:fill="FFFFFF" w:val="clear"/>
            <w:vAlign w:val="center"/>
          </w:tcPr>
          <w:p>
            <w:pPr>
              <w:pStyle w:val="TableContents"/>
              <w:bidi w:val="0"/>
              <w:spacing w:before="0" w:after="283"/>
              <w:jc w:val="left"/>
              <w:rPr/>
            </w:pPr>
            <w:r>
              <w:rPr/>
              <w:t> </w:t>
            </w:r>
            <w:bookmarkStart w:id="104" w:name="xdx_403_eus-gaap--GeneralAndAdministrati"/>
            <w:bookmarkEnd w:id="104"/>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11,078</w:t>
            </w:r>
          </w:p>
        </w:tc>
        <w:tc>
          <w:tcPr>
            <w:tcW w:w="110" w:type="dxa"/>
            <w:tcBorders/>
            <w:shd w:fill="CCEEFF" w:val="clear"/>
            <w:vAlign w:val="center"/>
          </w:tcPr>
          <w:p>
            <w:pPr>
              <w:pStyle w:val="TableContents"/>
              <w:bidi w:val="0"/>
              <w:spacing w:before="0" w:after="283"/>
              <w:jc w:val="left"/>
              <w:rPr/>
            </w:pPr>
            <w:r>
              <w:rPr/>
              <w:t> </w:t>
            </w:r>
            <w:bookmarkStart w:id="105" w:name="xdx_40A_eus-gaap--OperatingExpenses_i01T"/>
            <w:bookmarkEnd w:id="105"/>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25,173</w:t>
            </w:r>
          </w:p>
        </w:tc>
        <w:tc>
          <w:tcPr>
            <w:tcW w:w="110" w:type="dxa"/>
            <w:tcBorders/>
            <w:shd w:fill="FFFFFF" w:val="clear"/>
            <w:vAlign w:val="center"/>
          </w:tcPr>
          <w:p>
            <w:pPr>
              <w:pStyle w:val="TableContents"/>
              <w:bidi w:val="0"/>
              <w:spacing w:before="0" w:after="283"/>
              <w:jc w:val="left"/>
              <w:rPr/>
            </w:pPr>
            <w:r>
              <w:rPr/>
              <w:t> </w:t>
            </w:r>
            <w:bookmarkStart w:id="106" w:name="xdx_408_eus-gaap--OperatingIncomeLoss_iT"/>
            <w:bookmarkEnd w:id="106"/>
          </w:p>
        </w:tc>
      </w:tr>
      <w:tr>
        <w:trPr/>
        <w:tc>
          <w:tcPr>
            <w:tcW w:w="46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(37,530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(24,136</w:t>
            </w:r>
          </w:p>
        </w:tc>
        <w:tc>
          <w:tcPr>
            <w:tcW w:w="110" w:type="dxa"/>
            <w:tcBorders/>
            <w:shd w:fill="CCEEFF" w:val="clear"/>
            <w:vAlign w:val="center"/>
          </w:tcPr>
          <w:p>
            <w:pPr>
              <w:pStyle w:val="TableContents"/>
              <w:bidi w:val="0"/>
              <w:spacing w:before="0" w:after="283"/>
              <w:jc w:val="left"/>
              <w:rPr/>
            </w:pPr>
            <w:r>
              <w:rPr/>
              <w:t>)</w:t>
            </w:r>
            <w:bookmarkStart w:id="107" w:name="xdx_402_eus-gaap--NonoperatingIncomeExpe"/>
            <w:bookmarkEnd w:id="107"/>
          </w:p>
        </w:tc>
      </w:tr>
      <w:tr>
        <w:trPr/>
        <w:tc>
          <w:tcPr>
            <w:tcW w:w="4610" w:type="dxa"/>
            <w:tcBorders/>
            <w:shd w:fill="FFFFFF" w:val="clear"/>
            <w:vAlign w:val="center"/>
          </w:tcPr>
          <w:p>
            <w:pPr>
              <w:pStyle w:val="TableContents"/>
              <w:bidi w:val="0"/>
              <w:spacing w:before="0" w:after="283"/>
              <w:jc w:val="left"/>
              <w:rPr>
                <w:b/>
              </w:rPr>
            </w:pPr>
            <w:r>
              <w:rPr>
                <w:b/>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1,305</w:t>
            </w:r>
          </w:p>
        </w:tc>
        <w:tc>
          <w:tcPr>
            <w:tcW w:w="110" w:type="dxa"/>
            <w:tcBorders/>
            <w:shd w:fill="FFFFFF" w:val="clear"/>
            <w:vAlign w:val="center"/>
          </w:tcPr>
          <w:p>
            <w:pPr>
              <w:pStyle w:val="TableContents"/>
              <w:bidi w:val="0"/>
              <w:spacing w:before="0" w:after="283"/>
              <w:jc w:val="left"/>
              <w:rPr/>
            </w:pPr>
            <w:r>
              <w:rPr/>
              <w:t> </w:t>
            </w:r>
            <w:bookmarkStart w:id="108" w:name="xdx_40D_eus-gaap--NetIncomeLoss_iT_mtNIL"/>
            <w:bookmarkEnd w:id="108"/>
          </w:p>
        </w:tc>
      </w:tr>
      <w:tr>
        <w:trPr/>
        <w:tc>
          <w:tcPr>
            <w:tcW w:w="46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(22,831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 w:name="xdx_900_eus-gaap--EarningsPerShareDilute"/>
            <w:bookmarkStart w:id="110" w:name="xdx_909_eus-gaap--EarningsPerShareBasic_"/>
            <w:bookmarkEnd w:id="109"/>
            <w:bookmarkEnd w:id="110"/>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1" w:name="xdx_90F_eus-gaap--EarningsPerShareDilute"/>
            <w:bookmarkStart w:id="112" w:name="xdx_901_eus-gaap--EarningsPerShareBasic_"/>
            <w:bookmarkEnd w:id="111"/>
            <w:bookmarkEnd w:id="112"/>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3" w:name="xdx_903_eus-gaap--EarningsPerShareDilute"/>
            <w:bookmarkStart w:id="114" w:name="xdx_907_eus-gaap--EarningsPerShareBasic_"/>
            <w:bookmarkEnd w:id="113"/>
            <w:bookmarkEnd w:id="114"/>
            <w:r>
              <w:rPr/>
              <w:t>(0.64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5" w:name="xdx_90A_eus-gaap--EarningsPerShareDilute"/>
            <w:bookmarkStart w:id="116" w:name="xdx_902_eus-gaap--EarningsPerShareBasic_"/>
            <w:bookmarkEnd w:id="115"/>
            <w:bookmarkEnd w:id="116"/>
            <w:r>
              <w:rPr/>
              <w:t>(0.58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WEIGHTED AVERAGE NUMBER OF ORDINARY SHARES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1_eus-gaap--WeightedAverageNumberO"/>
            <w:bookmarkStart w:id="118" w:name="xdx_90B_eus-gaap--WeightedAverageNumberO"/>
            <w:bookmarkEnd w:id="117"/>
            <w:bookmarkEnd w:id="118"/>
            <w:r>
              <w:rPr/>
              <w:t>73,466,501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7_eus-gaap--WeightedAverageNumberO"/>
            <w:bookmarkStart w:id="120" w:name="xdx_90A_eus-gaap--WeightedAverageNumberO"/>
            <w:bookmarkEnd w:id="119"/>
            <w:bookmarkEnd w:id="120"/>
            <w:r>
              <w:rPr/>
              <w:t>48,369,412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1" w:name="xdx_902_eus-gaap--WeightedAverageNumberO"/>
            <w:bookmarkStart w:id="122" w:name="xdx_907_eus-gaap--WeightedAverageNumberO"/>
            <w:bookmarkEnd w:id="121"/>
            <w:bookmarkEnd w:id="122"/>
            <w:r>
              <w:rPr/>
              <w:t>58,245,368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3" w:name="xdx_90D_eus-gaap--WeightedAverageNumberO"/>
            <w:bookmarkStart w:id="124" w:name="xdx_907_eus-gaap--WeightedAverageNumberO"/>
            <w:bookmarkEnd w:id="123"/>
            <w:bookmarkEnd w:id="124"/>
            <w:r>
              <w:rPr/>
              <w:t>39,413,004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5" w:name="Rma_003"/>
      <w:bookmarkEnd w:id="125"/>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26" w:name="xdx_304_114_pn3n3_zBLxfbZJpMDd"/>
      <w:bookmarkStart w:id="127" w:name="xdx_304_114_pn3n3_zBLxfbZJpMDd"/>
      <w:bookmarkEnd w:id="127"/>
    </w:p>
    <w:tbl>
      <w:tblPr>
        <w:tblW w:w="10205" w:type="dxa"/>
        <w:jc w:val="left"/>
        <w:tblInd w:w="0" w:type="dxa"/>
        <w:tblLayout w:type="fixed"/>
        <w:tblCellMar>
          <w:top w:w="0" w:type="dxa"/>
          <w:left w:w="0" w:type="dxa"/>
          <w:bottom w:w="0" w:type="dxa"/>
          <w:right w:w="0" w:type="dxa"/>
        </w:tblCellMar>
      </w:tblPr>
      <w:tblGrid>
        <w:gridCol w:w="2332"/>
        <w:gridCol w:w="60"/>
        <w:gridCol w:w="60"/>
        <w:gridCol w:w="1100"/>
        <w:gridCol w:w="60"/>
        <w:gridCol w:w="60"/>
        <w:gridCol w:w="258"/>
        <w:gridCol w:w="602"/>
        <w:gridCol w:w="60"/>
        <w:gridCol w:w="60"/>
        <w:gridCol w:w="68"/>
        <w:gridCol w:w="648"/>
        <w:gridCol w:w="60"/>
        <w:gridCol w:w="60"/>
        <w:gridCol w:w="280"/>
        <w:gridCol w:w="588"/>
        <w:gridCol w:w="60"/>
        <w:gridCol w:w="60"/>
        <w:gridCol w:w="79"/>
        <w:gridCol w:w="1074"/>
        <w:gridCol w:w="60"/>
        <w:gridCol w:w="60"/>
        <w:gridCol w:w="87"/>
        <w:gridCol w:w="1283"/>
        <w:gridCol w:w="95"/>
        <w:gridCol w:w="60"/>
        <w:gridCol w:w="60"/>
        <w:gridCol w:w="755"/>
        <w:gridCol w:w="116"/>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9_us-gaap--StatementEquityComponen"/>
            <w:bookmarkEnd w:id="12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6_us-gaap--StatementEquityComponen"/>
            <w:bookmarkEnd w:id="129"/>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E_us-gaap--StatementEquityComponen"/>
            <w:bookmarkEnd w:id="130"/>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1_us-gaap--StatementEquityComponen"/>
            <w:bookmarkEnd w:id="13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7_zE9JzdmwOyz4"/>
            <w:bookmarkEnd w:id="132"/>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133" w:name="xdx_437_c20240101__20240930_eus-gaap--St"/>
            <w:bookmarkEnd w:id="133"/>
          </w:p>
        </w:tc>
      </w:tr>
      <w:tr>
        <w:trPr/>
        <w:tc>
          <w:tcPr>
            <w:tcW w:w="2332"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4" w:name="xdx_988_eus-gaap--SharesOutstanding_iS_p"/>
            <w:bookmarkEnd w:id="134"/>
          </w:p>
        </w:tc>
        <w:tc>
          <w:tcPr>
            <w:tcW w:w="1100" w:type="dxa"/>
            <w:tcBorders/>
            <w:shd w:fill="CCEEFF" w:val="clear"/>
            <w:vAlign w:val="center"/>
          </w:tcPr>
          <w:p>
            <w:pPr>
              <w:pStyle w:val="TableContents"/>
              <w:bidi w:val="0"/>
              <w:spacing w:before="0" w:after="283"/>
              <w:jc w:val="right"/>
              <w:rPr>
                <w:b/>
              </w:rPr>
            </w:pPr>
            <w:r>
              <w:rPr>
                <w:b/>
              </w:rPr>
              <w:t>21,841,215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5" w:name="xdx_983_eus-gaap--SharesOutstanding_iS_p"/>
            <w:bookmarkEnd w:id="135"/>
          </w:p>
        </w:tc>
        <w:tc>
          <w:tcPr>
            <w:tcW w:w="648"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36" w:name="xdx_F29_zTgAwRJ3ae15"/>
            <w:bookmarkEnd w:id="136"/>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261,000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(221,501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39,501</w:t>
            </w:r>
          </w:p>
        </w:tc>
        <w:tc>
          <w:tcPr>
            <w:tcW w:w="116" w:type="dxa"/>
            <w:tcBorders/>
            <w:shd w:fill="CCEEFF" w:val="clear"/>
            <w:vAlign w:val="center"/>
          </w:tcPr>
          <w:p>
            <w:pPr>
              <w:pStyle w:val="TableContents"/>
              <w:bidi w:val="0"/>
              <w:spacing w:before="0" w:after="283"/>
              <w:jc w:val="left"/>
              <w:rPr/>
            </w:pPr>
            <w:r>
              <w:rPr/>
              <w:t> </w:t>
            </w:r>
            <w:bookmarkStart w:id="137" w:name="xdx_40B_eus-gaap--NetIncomeLoss_z37YCaFN"/>
            <w:bookmarkEnd w:id="137"/>
          </w:p>
        </w:tc>
      </w:tr>
      <w:tr>
        <w:trPr/>
        <w:tc>
          <w:tcPr>
            <w:tcW w:w="233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(22,831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(22,831</w:t>
            </w:r>
          </w:p>
        </w:tc>
        <w:tc>
          <w:tcPr>
            <w:tcW w:w="116" w:type="dxa"/>
            <w:tcBorders/>
            <w:shd w:fill="FFFFFF" w:val="clear"/>
            <w:vAlign w:val="center"/>
          </w:tcPr>
          <w:p>
            <w:pPr>
              <w:pStyle w:val="TableContents"/>
              <w:bidi w:val="0"/>
              <w:spacing w:before="0" w:after="283"/>
              <w:jc w:val="left"/>
              <w:rPr>
                <w:b/>
              </w:rPr>
            </w:pPr>
            <w:r>
              <w:rPr>
                <w:b/>
              </w:rPr>
              <w:t>)</w:t>
            </w:r>
            <w:bookmarkStart w:id="138" w:name="xdx_406_ecustom--StockIssuedDuringPeriod"/>
            <w:bookmarkEnd w:id="138"/>
          </w:p>
        </w:tc>
      </w:tr>
      <w:tr>
        <w:trPr/>
        <w:tc>
          <w:tcPr>
            <w:tcW w:w="2332"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1_ecustom--StockIssuedDuringPeriod"/>
            <w:bookmarkEnd w:id="139"/>
          </w:p>
        </w:tc>
        <w:tc>
          <w:tcPr>
            <w:tcW w:w="1100" w:type="dxa"/>
            <w:tcBorders/>
            <w:shd w:fill="CCEEFF" w:val="clear"/>
            <w:vAlign w:val="center"/>
          </w:tcPr>
          <w:p>
            <w:pPr>
              <w:pStyle w:val="TableContents"/>
              <w:bidi w:val="0"/>
              <w:spacing w:before="0" w:after="283"/>
              <w:jc w:val="right"/>
              <w:rPr>
                <w:b/>
              </w:rPr>
            </w:pPr>
            <w:r>
              <w:rPr>
                <w:b/>
              </w:rPr>
              <w:t>1,728,382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0" w:name="xdx_F26_zBQXs8jldE5f"/>
            <w:bookmarkEnd w:id="140"/>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1" w:name="xdx_F2D_zGt6DInhBHt6"/>
            <w:bookmarkEnd w:id="141"/>
            <w:r>
              <w:rPr>
                <w:rFonts w:ascii="Times New Roman;Times;Serif" w:hAnsi="Times New Roman;Times;Serif"/>
                <w:b/>
                <w:sz w:val="20"/>
              </w:rPr>
              <w:t>*</w:t>
            </w:r>
          </w:p>
        </w:tc>
        <w:tc>
          <w:tcPr>
            <w:tcW w:w="116" w:type="dxa"/>
            <w:tcBorders/>
            <w:shd w:fill="CCEEFF" w:val="clear"/>
            <w:vAlign w:val="center"/>
          </w:tcPr>
          <w:p>
            <w:pPr>
              <w:pStyle w:val="TableContents"/>
              <w:bidi w:val="0"/>
              <w:spacing w:before="0" w:after="283"/>
              <w:jc w:val="left"/>
              <w:rPr/>
            </w:pPr>
            <w:r>
              <w:rPr/>
              <w:t> </w:t>
            </w:r>
            <w:bookmarkStart w:id="142" w:name="xdx_40B_ecustom--StockIssuedDuringPeriod"/>
            <w:bookmarkEnd w:id="142"/>
          </w:p>
        </w:tc>
      </w:tr>
      <w:tr>
        <w:trPr/>
        <w:tc>
          <w:tcPr>
            <w:tcW w:w="2332" w:type="dxa"/>
            <w:tcBorders/>
            <w:shd w:fill="FFFFFF" w:val="clear"/>
            <w:vAlign w:val="center"/>
          </w:tcPr>
          <w:p>
            <w:pPr>
              <w:pStyle w:val="TableContents"/>
              <w:bidi w:val="0"/>
              <w:spacing w:before="0" w:after="283"/>
              <w:jc w:val="left"/>
              <w:rPr>
                <w:b/>
              </w:rPr>
            </w:pPr>
            <w:r>
              <w:rPr>
                <w:b/>
              </w:rPr>
              <w:t xml:space="preserve">Exercise of Warrants Series H to </w:t>
            </w:r>
            <w:bookmarkStart w:id="143" w:name="xdx_902_eus-gaap--ClassOfWarrantOrRightN"/>
            <w:bookmarkEnd w:id="143"/>
            <w:r>
              <w:rPr>
                <w:b/>
              </w:rPr>
              <w:t xml:space="preserve">12,621,090 pre-funded warrants and </w:t>
            </w:r>
            <w:bookmarkStart w:id="144" w:name="xdx_90B_ecustom--StockIssuedDuringPeriod"/>
            <w:bookmarkEnd w:id="144"/>
            <w:r>
              <w:rPr>
                <w:b/>
              </w:rPr>
              <w:t>292,996 common stock, net of $</w:t>
            </w:r>
            <w:bookmarkStart w:id="145" w:name="xdx_90B_eus-gaap--StockIssued1_pn3n3_c20"/>
            <w:bookmarkEnd w:id="145"/>
            <w:r>
              <w:rPr>
                <w:b/>
              </w:rPr>
              <w:t>1,000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981_ecustom--StockIssuedDuringPeriod"/>
            <w:bookmarkEnd w:id="146"/>
          </w:p>
        </w:tc>
        <w:tc>
          <w:tcPr>
            <w:tcW w:w="1100" w:type="dxa"/>
            <w:tcBorders/>
            <w:shd w:fill="FFFFFF" w:val="clear"/>
            <w:vAlign w:val="center"/>
          </w:tcPr>
          <w:p>
            <w:pPr>
              <w:pStyle w:val="TableContents"/>
              <w:bidi w:val="0"/>
              <w:spacing w:before="0" w:after="283"/>
              <w:jc w:val="right"/>
              <w:rPr>
                <w:b/>
              </w:rPr>
            </w:pPr>
            <w:r>
              <w:rPr>
                <w:b/>
              </w:rPr>
              <w:t>292,996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16,854</w:t>
            </w:r>
          </w:p>
        </w:tc>
        <w:tc>
          <w:tcPr>
            <w:tcW w:w="116" w:type="dxa"/>
            <w:tcBorders/>
            <w:shd w:fill="FFFFFF" w:val="clear"/>
            <w:vAlign w:val="center"/>
          </w:tcPr>
          <w:p>
            <w:pPr>
              <w:pStyle w:val="TableContents"/>
              <w:bidi w:val="0"/>
              <w:spacing w:before="0" w:after="283"/>
              <w:jc w:val="left"/>
              <w:rPr/>
            </w:pPr>
            <w:r>
              <w:rPr/>
              <w:t> </w:t>
            </w:r>
            <w:bookmarkStart w:id="147" w:name="xdx_401_eus-gaap--StockIssuedDuringPerio"/>
            <w:bookmarkEnd w:id="147"/>
          </w:p>
        </w:tc>
      </w:tr>
      <w:tr>
        <w:trPr/>
        <w:tc>
          <w:tcPr>
            <w:tcW w:w="2332" w:type="dxa"/>
            <w:tcBorders/>
            <w:shd w:fill="CCEEFF" w:val="clear"/>
            <w:vAlign w:val="center"/>
          </w:tcPr>
          <w:p>
            <w:pPr>
              <w:pStyle w:val="TableContents"/>
              <w:bidi w:val="0"/>
              <w:spacing w:before="0" w:after="283"/>
              <w:jc w:val="left"/>
              <w:rPr>
                <w:b/>
              </w:rPr>
            </w:pPr>
            <w:r>
              <w:rPr>
                <w:b/>
              </w:rPr>
              <w:t>Issuance of common shares, Included at the market offering net of $</w:t>
            </w:r>
            <w:bookmarkStart w:id="148" w:name="xdx_904_eus-gaap--ProceedsFromIssuanceIn"/>
            <w:bookmarkEnd w:id="148"/>
            <w:r>
              <w:rPr>
                <w:b/>
              </w:rPr>
              <w:t>1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C_eus-gaap--StockIssuedDuringPerio"/>
            <w:bookmarkEnd w:id="149"/>
          </w:p>
        </w:tc>
        <w:tc>
          <w:tcPr>
            <w:tcW w:w="1100" w:type="dxa"/>
            <w:tcBorders/>
            <w:shd w:fill="CCEEFF" w:val="clear"/>
            <w:vAlign w:val="center"/>
          </w:tcPr>
          <w:p>
            <w:pPr>
              <w:pStyle w:val="TableContents"/>
              <w:bidi w:val="0"/>
              <w:spacing w:before="0" w:after="283"/>
              <w:jc w:val="right"/>
              <w:rPr>
                <w:b/>
              </w:rPr>
            </w:pPr>
            <w:r>
              <w:rPr>
                <w:b/>
              </w:rPr>
              <w:t>12,961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35</w:t>
            </w:r>
          </w:p>
        </w:tc>
        <w:tc>
          <w:tcPr>
            <w:tcW w:w="116" w:type="dxa"/>
            <w:tcBorders/>
            <w:shd w:fill="CCEEFF" w:val="clear"/>
            <w:vAlign w:val="center"/>
          </w:tcPr>
          <w:p>
            <w:pPr>
              <w:pStyle w:val="TableContents"/>
              <w:bidi w:val="0"/>
              <w:spacing w:before="0" w:after="283"/>
              <w:jc w:val="left"/>
              <w:rPr/>
            </w:pPr>
            <w:r>
              <w:rPr/>
              <w:t> </w:t>
            </w:r>
            <w:bookmarkStart w:id="150" w:name="xdx_404_ecustom--SharebasedCompensationR"/>
            <w:bookmarkEnd w:id="150"/>
          </w:p>
        </w:tc>
      </w:tr>
      <w:tr>
        <w:trPr/>
        <w:tc>
          <w:tcPr>
            <w:tcW w:w="2332" w:type="dxa"/>
            <w:tcBorders/>
            <w:shd w:fill="FFFF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51" w:name="xdx_900_eus-gaap--StockIssuedDuringPerio"/>
            <w:bookmarkEnd w:id="151"/>
            <w:r>
              <w:rPr>
                <w:b/>
              </w:rPr>
              <w:t>112,382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1_ecustom--SharebasedCompensationR"/>
            <w:bookmarkEnd w:id="152"/>
          </w:p>
        </w:tc>
        <w:tc>
          <w:tcPr>
            <w:tcW w:w="1100" w:type="dxa"/>
            <w:tcBorders/>
            <w:shd w:fill="FFFFFF" w:val="clear"/>
            <w:vAlign w:val="center"/>
          </w:tcPr>
          <w:p>
            <w:pPr>
              <w:pStyle w:val="TableContents"/>
              <w:bidi w:val="0"/>
              <w:spacing w:before="0" w:after="283"/>
              <w:jc w:val="right"/>
              <w:rPr>
                <w:b/>
              </w:rPr>
            </w:pPr>
            <w:r>
              <w:rPr>
                <w:b/>
              </w:rPr>
              <w:t>1,844,078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53" w:name="xdx_F26_zeEBtCqYSnI9"/>
            <w:bookmarkEnd w:id="153"/>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7,792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7,792</w:t>
            </w:r>
          </w:p>
        </w:tc>
        <w:tc>
          <w:tcPr>
            <w:tcW w:w="116" w:type="dxa"/>
            <w:tcBorders/>
            <w:shd w:fill="FFFFFF" w:val="clear"/>
            <w:vAlign w:val="center"/>
          </w:tcPr>
          <w:p>
            <w:pPr>
              <w:pStyle w:val="TableContents"/>
              <w:bidi w:val="0"/>
              <w:spacing w:before="0" w:after="283"/>
              <w:jc w:val="left"/>
              <w:rPr/>
            </w:pPr>
            <w:r>
              <w:rPr/>
              <w:t> </w:t>
            </w:r>
            <w:bookmarkStart w:id="154" w:name="xdx_43D_c20240101__20240930_eus-gaap--St"/>
            <w:bookmarkEnd w:id="154"/>
          </w:p>
        </w:tc>
      </w:tr>
      <w:tr>
        <w:trPr/>
        <w:tc>
          <w:tcPr>
            <w:tcW w:w="2332" w:type="dxa"/>
            <w:tcBorders/>
            <w:shd w:fill="CCEEFF" w:val="clear"/>
            <w:vAlign w:val="center"/>
          </w:tcPr>
          <w:p>
            <w:pPr>
              <w:pStyle w:val="TableContents"/>
              <w:bidi w:val="0"/>
              <w:spacing w:before="0" w:after="283"/>
              <w:jc w:val="left"/>
              <w:rPr>
                <w:b/>
              </w:rPr>
            </w:pPr>
            <w:r>
              <w:rPr>
                <w:b/>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1_eus-gaap--SharesOutstanding_iE_p"/>
            <w:bookmarkEnd w:id="15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25,719,632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 w:name="xdx_981_eus-gaap--SharesOutstanding_iE_p"/>
            <w:bookmarkEnd w:id="156"/>
          </w:p>
        </w:tc>
        <w:tc>
          <w:tcPr>
            <w:tcW w:w="6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57" w:name="xdx_F28_zt0Eo8YbRdP"/>
            <w:bookmarkEnd w:id="157"/>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285,680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(244,332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41,351</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58" w:name="xdx_F03_zb5U6aFAZ7Hf"/>
            <w:bookmarkEnd w:id="158"/>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59" w:name="xdx_F10_zPgbRp92uSc3"/>
            <w:bookmarkEnd w:id="159"/>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0"/>
        <w:gridCol w:w="60"/>
        <w:gridCol w:w="60"/>
        <w:gridCol w:w="1101"/>
        <w:gridCol w:w="60"/>
        <w:gridCol w:w="60"/>
        <w:gridCol w:w="258"/>
        <w:gridCol w:w="602"/>
        <w:gridCol w:w="60"/>
        <w:gridCol w:w="60"/>
        <w:gridCol w:w="101"/>
        <w:gridCol w:w="661"/>
        <w:gridCol w:w="70"/>
        <w:gridCol w:w="70"/>
        <w:gridCol w:w="274"/>
        <w:gridCol w:w="586"/>
        <w:gridCol w:w="60"/>
        <w:gridCol w:w="60"/>
        <w:gridCol w:w="81"/>
        <w:gridCol w:w="1093"/>
        <w:gridCol w:w="60"/>
        <w:gridCol w:w="60"/>
        <w:gridCol w:w="87"/>
        <w:gridCol w:w="1283"/>
        <w:gridCol w:w="95"/>
        <w:gridCol w:w="60"/>
        <w:gridCol w:w="60"/>
        <w:gridCol w:w="680"/>
        <w:gridCol w:w="113"/>
      </w:tblGrid>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160" w:name="xdx_435_c20240701__20240930_eus-gaap--St"/>
            <w:bookmarkEnd w:id="160"/>
          </w:p>
        </w:tc>
      </w:tr>
      <w:tr>
        <w:trPr/>
        <w:tc>
          <w:tcPr>
            <w:tcW w:w="2330" w:type="dxa"/>
            <w:tcBorders/>
            <w:shd w:fill="CCEEFF" w:val="clear"/>
            <w:vAlign w:val="center"/>
          </w:tcPr>
          <w:p>
            <w:pPr>
              <w:pStyle w:val="TableContents"/>
              <w:bidi w:val="0"/>
              <w:spacing w:before="0" w:after="283"/>
              <w:jc w:val="left"/>
              <w:rPr>
                <w:b/>
              </w:rPr>
            </w:pPr>
            <w:r>
              <w:rPr>
                <w:b/>
              </w:rPr>
              <w:t>BALANCE AT July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3_eus-gaap--SharesOutstanding_iS_p"/>
            <w:bookmarkEnd w:id="161"/>
          </w:p>
        </w:tc>
        <w:tc>
          <w:tcPr>
            <w:tcW w:w="1101" w:type="dxa"/>
            <w:tcBorders/>
            <w:shd w:fill="CCEEFF" w:val="clear"/>
            <w:vAlign w:val="center"/>
          </w:tcPr>
          <w:p>
            <w:pPr>
              <w:pStyle w:val="TableContents"/>
              <w:bidi w:val="0"/>
              <w:spacing w:before="0" w:after="283"/>
              <w:jc w:val="right"/>
              <w:rPr>
                <w:b/>
              </w:rPr>
            </w:pPr>
            <w:r>
              <w:rPr>
                <w:b/>
              </w:rPr>
              <w:t>25,196,479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bookmarkStart w:id="162" w:name="xdx_987_eus-gaap--SharesOutstanding_iS_p"/>
            <w:bookmarkEnd w:id="162"/>
          </w:p>
        </w:tc>
        <w:tc>
          <w:tcPr>
            <w:tcW w:w="661" w:type="dxa"/>
            <w:tcBorders/>
            <w:shd w:fill="CCEEFF" w:val="clear"/>
            <w:vAlign w:val="center"/>
          </w:tcPr>
          <w:p>
            <w:pPr>
              <w:pStyle w:val="TableContents"/>
              <w:bidi w:val="0"/>
              <w:spacing w:before="0" w:after="283"/>
              <w:jc w:val="right"/>
              <w:rPr>
                <w:b/>
              </w:rPr>
            </w:pPr>
            <w:r>
              <w:rPr>
                <w:b/>
              </w:rPr>
              <w:t>1,718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3" w:name="xdx_F26_z9IdVaWRK2g1"/>
            <w:bookmarkEnd w:id="163"/>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b/>
              </w:rPr>
            </w:pPr>
            <w:r>
              <w:rPr>
                <w:b/>
              </w:rPr>
              <w:t>283,202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(236,442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46,763</w:t>
            </w:r>
          </w:p>
        </w:tc>
        <w:tc>
          <w:tcPr>
            <w:tcW w:w="113" w:type="dxa"/>
            <w:tcBorders/>
            <w:shd w:fill="CCEEFF" w:val="clear"/>
            <w:vAlign w:val="center"/>
          </w:tcPr>
          <w:p>
            <w:pPr>
              <w:pStyle w:val="TableContents"/>
              <w:bidi w:val="0"/>
              <w:spacing w:before="0" w:after="283"/>
              <w:jc w:val="left"/>
              <w:rPr/>
            </w:pPr>
            <w:r>
              <w:rPr/>
              <w:t> </w:t>
            </w:r>
            <w:bookmarkStart w:id="164" w:name="xdx_40B_eus-gaap--NetIncomeLoss_zRs8NVFw"/>
            <w:bookmarkEnd w:id="164"/>
          </w:p>
        </w:tc>
      </w:tr>
      <w:tr>
        <w:trPr/>
        <w:tc>
          <w:tcPr>
            <w:tcW w:w="23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(7,890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(7,890</w:t>
            </w:r>
          </w:p>
        </w:tc>
        <w:tc>
          <w:tcPr>
            <w:tcW w:w="113" w:type="dxa"/>
            <w:tcBorders/>
            <w:shd w:fill="FFFFFF" w:val="clear"/>
            <w:vAlign w:val="center"/>
          </w:tcPr>
          <w:p>
            <w:pPr>
              <w:pStyle w:val="TableContents"/>
              <w:bidi w:val="0"/>
              <w:spacing w:before="0" w:after="283"/>
              <w:jc w:val="left"/>
              <w:rPr>
                <w:b/>
              </w:rPr>
            </w:pPr>
            <w:r>
              <w:rPr>
                <w:b/>
              </w:rPr>
              <w:t>)</w:t>
            </w:r>
            <w:bookmarkStart w:id="165" w:name="xdx_406_ecustom--StockIssuedDuringPeriod"/>
            <w:bookmarkEnd w:id="165"/>
          </w:p>
        </w:tc>
      </w:tr>
      <w:tr>
        <w:trPr/>
        <w:tc>
          <w:tcPr>
            <w:tcW w:w="2330"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8_ecustom--StockIssuedDuringPeriod"/>
            <w:bookmarkEnd w:id="166"/>
          </w:p>
        </w:tc>
        <w:tc>
          <w:tcPr>
            <w:tcW w:w="1101" w:type="dxa"/>
            <w:tcBorders/>
            <w:shd w:fill="CCEEFF" w:val="clear"/>
            <w:vAlign w:val="center"/>
          </w:tcPr>
          <w:p>
            <w:pPr>
              <w:pStyle w:val="TableContents"/>
              <w:bidi w:val="0"/>
              <w:spacing w:before="0" w:after="283"/>
              <w:jc w:val="right"/>
              <w:rPr>
                <w:b/>
              </w:rPr>
            </w:pPr>
            <w:r>
              <w:rPr>
                <w:b/>
              </w:rPr>
              <w:t>199,992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7" w:name="xdx_F27_zK3Wtfp4GI7b"/>
            <w:bookmarkEnd w:id="167"/>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8" w:name="xdx_F2B_zpuiDBgdglYj"/>
            <w:bookmarkEnd w:id="168"/>
            <w:r>
              <w:rPr>
                <w:rFonts w:ascii="Times New Roman;Times;Serif" w:hAnsi="Times New Roman;Times;Serif"/>
                <w:b/>
                <w:sz w:val="20"/>
              </w:rPr>
              <w:t>*</w:t>
            </w:r>
          </w:p>
        </w:tc>
        <w:tc>
          <w:tcPr>
            <w:tcW w:w="113" w:type="dxa"/>
            <w:tcBorders/>
            <w:shd w:fill="CCEEFF" w:val="clear"/>
            <w:vAlign w:val="center"/>
          </w:tcPr>
          <w:p>
            <w:pPr>
              <w:pStyle w:val="TableContents"/>
              <w:bidi w:val="0"/>
              <w:spacing w:before="0" w:after="283"/>
              <w:jc w:val="left"/>
              <w:rPr/>
            </w:pPr>
            <w:r>
              <w:rPr/>
              <w:t> </w:t>
            </w:r>
            <w:bookmarkStart w:id="169" w:name="xdx_401_eus-gaap--StockIssuedDuringPerio"/>
            <w:bookmarkEnd w:id="169"/>
          </w:p>
        </w:tc>
      </w:tr>
      <w:tr>
        <w:trPr/>
        <w:tc>
          <w:tcPr>
            <w:tcW w:w="2330" w:type="dxa"/>
            <w:tcBorders/>
            <w:shd w:fill="FFFFFF" w:val="clear"/>
            <w:vAlign w:val="center"/>
          </w:tcPr>
          <w:p>
            <w:pPr>
              <w:pStyle w:val="TableContents"/>
              <w:bidi w:val="0"/>
              <w:spacing w:before="0" w:after="283"/>
              <w:jc w:val="left"/>
              <w:rPr>
                <w:b/>
              </w:rPr>
            </w:pPr>
            <w:r>
              <w:rPr>
                <w:b/>
              </w:rPr>
              <w:t>Issuance of common shares, Included at the market offering net of $</w:t>
            </w:r>
            <w:bookmarkStart w:id="170" w:name="xdx_904_eus-gaap--ProceedsFromIssuanceIn"/>
            <w:bookmarkEnd w:id="170"/>
            <w:r>
              <w:rPr>
                <w:b/>
              </w:rPr>
              <w:t>1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2_eus-gaap--StockIssuedDuringPerio"/>
            <w:bookmarkEnd w:id="171"/>
          </w:p>
        </w:tc>
        <w:tc>
          <w:tcPr>
            <w:tcW w:w="1101" w:type="dxa"/>
            <w:tcBorders/>
            <w:shd w:fill="FFFFFF" w:val="clear"/>
            <w:vAlign w:val="center"/>
          </w:tcPr>
          <w:p>
            <w:pPr>
              <w:pStyle w:val="TableContents"/>
              <w:bidi w:val="0"/>
              <w:spacing w:before="0" w:after="283"/>
              <w:jc w:val="right"/>
              <w:rPr>
                <w:b/>
              </w:rPr>
            </w:pPr>
            <w:r>
              <w:rPr>
                <w:b/>
              </w:rPr>
              <w:t>12,961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b/>
              </w:rPr>
            </w:pPr>
            <w:r>
              <w:rPr>
                <w:b/>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35</w:t>
            </w:r>
          </w:p>
        </w:tc>
        <w:tc>
          <w:tcPr>
            <w:tcW w:w="113" w:type="dxa"/>
            <w:tcBorders/>
            <w:shd w:fill="FFFFFF" w:val="clear"/>
            <w:vAlign w:val="center"/>
          </w:tcPr>
          <w:p>
            <w:pPr>
              <w:pStyle w:val="TableContents"/>
              <w:bidi w:val="0"/>
              <w:spacing w:before="0" w:after="283"/>
              <w:jc w:val="left"/>
              <w:rPr/>
            </w:pPr>
            <w:r>
              <w:rPr/>
              <w:t> </w:t>
            </w:r>
            <w:bookmarkStart w:id="172" w:name="xdx_404_ecustom--SharebasedCompensationR"/>
            <w:bookmarkEnd w:id="172"/>
          </w:p>
        </w:tc>
      </w:tr>
      <w:tr>
        <w:trPr/>
        <w:tc>
          <w:tcPr>
            <w:tcW w:w="2330" w:type="dxa"/>
            <w:tcBorders/>
            <w:shd w:fill="CCEEFF" w:val="clear"/>
            <w:vAlign w:val="center"/>
          </w:tcPr>
          <w:p>
            <w:pPr>
              <w:pStyle w:val="TableContents"/>
              <w:bidi w:val="0"/>
              <w:spacing w:before="0" w:after="283"/>
              <w:jc w:val="left"/>
              <w:rPr>
                <w:b/>
              </w:rPr>
            </w:pPr>
            <w:r>
              <w:rPr>
                <w:b/>
              </w:rPr>
              <w:t>Share-based compensation related to stock, restricted stock, restricted stock units and stock options award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987_ecustom--SharebasedCompensationR"/>
            <w:bookmarkEnd w:id="173"/>
          </w:p>
        </w:tc>
        <w:tc>
          <w:tcPr>
            <w:tcW w:w="1101" w:type="dxa"/>
            <w:tcBorders/>
            <w:shd w:fill="CCEEFF" w:val="clear"/>
            <w:vAlign w:val="center"/>
          </w:tcPr>
          <w:p>
            <w:pPr>
              <w:pStyle w:val="TableContents"/>
              <w:bidi w:val="0"/>
              <w:spacing w:before="0" w:after="283"/>
              <w:jc w:val="right"/>
              <w:rPr>
                <w:b/>
              </w:rPr>
            </w:pPr>
            <w:r>
              <w:rPr>
                <w:b/>
              </w:rPr>
              <w:t>310,200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b/>
              </w:rPr>
            </w:pPr>
            <w:r>
              <w:rPr>
                <w:b/>
              </w:rPr>
              <w:t>2,443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2,443</w:t>
            </w:r>
          </w:p>
        </w:tc>
        <w:tc>
          <w:tcPr>
            <w:tcW w:w="113" w:type="dxa"/>
            <w:tcBorders/>
            <w:shd w:fill="CCEEFF" w:val="clear"/>
            <w:vAlign w:val="center"/>
          </w:tcPr>
          <w:p>
            <w:pPr>
              <w:pStyle w:val="TableContents"/>
              <w:bidi w:val="0"/>
              <w:spacing w:before="0" w:after="283"/>
              <w:jc w:val="left"/>
              <w:rPr/>
            </w:pPr>
            <w:r>
              <w:rPr/>
              <w:t> </w:t>
            </w:r>
            <w:bookmarkStart w:id="174" w:name="xdx_430_c20240701__20240930_eus-gaap--St"/>
            <w:bookmarkEnd w:id="174"/>
          </w:p>
        </w:tc>
      </w:tr>
      <w:tr>
        <w:trPr/>
        <w:tc>
          <w:tcPr>
            <w:tcW w:w="2330" w:type="dxa"/>
            <w:tcBorders/>
            <w:shd w:fill="FFFFFF" w:val="clear"/>
            <w:vAlign w:val="center"/>
          </w:tcPr>
          <w:p>
            <w:pPr>
              <w:pStyle w:val="TableContents"/>
              <w:bidi w:val="0"/>
              <w:spacing w:before="0" w:after="283"/>
              <w:jc w:val="left"/>
              <w:rPr>
                <w:b/>
              </w:rPr>
            </w:pPr>
            <w:r>
              <w:rPr>
                <w:b/>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5" w:name="xdx_98E_eus-gaap--SharesOutstanding_iE_p"/>
            <w:bookmarkEnd w:id="175"/>
          </w:p>
        </w:tc>
        <w:tc>
          <w:tcPr>
            <w:tcW w:w="110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25,719,632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C_eus-gaap--SharesOutstanding_iE_p"/>
            <w:bookmarkEnd w:id="176"/>
          </w:p>
        </w:tc>
        <w:tc>
          <w:tcPr>
            <w:tcW w:w="6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77" w:name="xdx_F24_zACDxp56lJx8"/>
            <w:bookmarkEnd w:id="177"/>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(244,332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41,351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78" w:name="xdx_F0B_ziMFcapGzAb4"/>
            <w:bookmarkEnd w:id="178"/>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79" w:name="xdx_F10_z1hs9UwuYFX6"/>
            <w:bookmarkEnd w:id="179"/>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3"/>
        <w:gridCol w:w="60"/>
        <w:gridCol w:w="60"/>
        <w:gridCol w:w="1101"/>
        <w:gridCol w:w="60"/>
        <w:gridCol w:w="60"/>
        <w:gridCol w:w="258"/>
        <w:gridCol w:w="602"/>
        <w:gridCol w:w="60"/>
        <w:gridCol w:w="60"/>
        <w:gridCol w:w="100"/>
        <w:gridCol w:w="647"/>
        <w:gridCol w:w="68"/>
        <w:gridCol w:w="68"/>
        <w:gridCol w:w="274"/>
        <w:gridCol w:w="586"/>
        <w:gridCol w:w="60"/>
        <w:gridCol w:w="60"/>
        <w:gridCol w:w="79"/>
        <w:gridCol w:w="1074"/>
        <w:gridCol w:w="60"/>
        <w:gridCol w:w="60"/>
        <w:gridCol w:w="87"/>
        <w:gridCol w:w="1283"/>
        <w:gridCol w:w="95"/>
        <w:gridCol w:w="60"/>
        <w:gridCol w:w="60"/>
        <w:gridCol w:w="755"/>
        <w:gridCol w:w="115"/>
      </w:tblGrid>
      <w:tr>
        <w:trPr/>
        <w:tc>
          <w:tcPr>
            <w:tcW w:w="2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5" w:type="dxa"/>
            <w:tcBorders/>
            <w:vAlign w:val="center"/>
          </w:tcPr>
          <w:p>
            <w:pPr>
              <w:pStyle w:val="TableContents"/>
              <w:bidi w:val="0"/>
              <w:spacing w:before="0" w:after="283"/>
              <w:jc w:val="left"/>
              <w:rPr/>
            </w:pPr>
            <w:r>
              <w:rPr/>
              <w:t> </w:t>
            </w:r>
          </w:p>
        </w:tc>
      </w:tr>
      <w:tr>
        <w:trPr/>
        <w:tc>
          <w:tcPr>
            <w:tcW w:w="2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bookmarkStart w:id="180" w:name="xdx_433_c20250101__20250930_eus-gaap--St"/>
            <w:bookmarkEnd w:id="180"/>
          </w:p>
        </w:tc>
      </w:tr>
      <w:tr>
        <w:trPr/>
        <w:tc>
          <w:tcPr>
            <w:tcW w:w="2293"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D_eus-gaap--SharesOutstanding_iS_p"/>
            <w:bookmarkEnd w:id="181"/>
          </w:p>
        </w:tc>
        <w:tc>
          <w:tcPr>
            <w:tcW w:w="1101" w:type="dxa"/>
            <w:tcBorders/>
            <w:shd w:fill="CCEEFF" w:val="clear"/>
            <w:vAlign w:val="center"/>
          </w:tcPr>
          <w:p>
            <w:pPr>
              <w:pStyle w:val="TableContents"/>
              <w:bidi w:val="0"/>
              <w:spacing w:before="0" w:after="283"/>
              <w:jc w:val="right"/>
              <w:rPr>
                <w:b/>
              </w:rPr>
            </w:pPr>
            <w:r>
              <w:rPr>
                <w:b/>
              </w:rPr>
              <w:t>26,611,033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182" w:name="xdx_981_eus-gaap--SharesOutstanding_iS_p"/>
            <w:bookmarkEnd w:id="182"/>
          </w:p>
        </w:tc>
        <w:tc>
          <w:tcPr>
            <w:tcW w:w="647" w:type="dxa"/>
            <w:tcBorders/>
            <w:shd w:fill="CCEEFF" w:val="cle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3" w:name="xdx_F27_zIwlLqJi7YTd"/>
            <w:bookmarkEnd w:id="183"/>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289,589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(253,506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36,086</w:t>
            </w:r>
          </w:p>
        </w:tc>
        <w:tc>
          <w:tcPr>
            <w:tcW w:w="115" w:type="dxa"/>
            <w:tcBorders/>
            <w:shd w:fill="CCEEFF" w:val="clear"/>
            <w:vAlign w:val="center"/>
          </w:tcPr>
          <w:p>
            <w:pPr>
              <w:pStyle w:val="TableContents"/>
              <w:bidi w:val="0"/>
              <w:spacing w:before="0" w:after="283"/>
              <w:jc w:val="left"/>
              <w:rPr/>
            </w:pPr>
            <w:r>
              <w:rPr/>
              <w:t> </w:t>
            </w:r>
            <w:bookmarkStart w:id="184" w:name="xdx_40B_eus-gaap--NetIncomeLoss_zCf6Zh9K"/>
            <w:bookmarkEnd w:id="184"/>
          </w:p>
        </w:tc>
      </w:tr>
      <w:tr>
        <w:trPr/>
        <w:tc>
          <w:tcPr>
            <w:tcW w:w="229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(37,025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(37,025</w:t>
            </w:r>
          </w:p>
        </w:tc>
        <w:tc>
          <w:tcPr>
            <w:tcW w:w="115" w:type="dxa"/>
            <w:tcBorders/>
            <w:shd w:fill="FFFFFF" w:val="clear"/>
            <w:vAlign w:val="center"/>
          </w:tcPr>
          <w:p>
            <w:pPr>
              <w:pStyle w:val="TableContents"/>
              <w:bidi w:val="0"/>
              <w:spacing w:before="0" w:after="283"/>
              <w:jc w:val="left"/>
              <w:rPr>
                <w:b/>
              </w:rPr>
            </w:pPr>
            <w:r>
              <w:rPr>
                <w:b/>
              </w:rPr>
              <w:t>)</w:t>
            </w:r>
            <w:bookmarkStart w:id="185" w:name="xdx_406_ecustom--StockIssuedDuringPeriod"/>
            <w:bookmarkEnd w:id="185"/>
          </w:p>
        </w:tc>
      </w:tr>
      <w:tr>
        <w:trPr/>
        <w:tc>
          <w:tcPr>
            <w:tcW w:w="2293" w:type="dxa"/>
            <w:tcBorders/>
            <w:shd w:fill="CCEEFF" w:val="clear"/>
            <w:vAlign w:val="center"/>
          </w:tcPr>
          <w:p>
            <w:pPr>
              <w:pStyle w:val="TableContents"/>
              <w:bidi w:val="0"/>
              <w:spacing w:before="0" w:after="283"/>
              <w:jc w:val="left"/>
              <w:rPr>
                <w:b/>
              </w:rPr>
            </w:pPr>
            <w:r>
              <w:rPr>
                <w:b/>
              </w:rPr>
              <w:t>Exercise of pre-funded warrants</w:t>
            </w:r>
            <w:bookmarkStart w:id="186" w:name="xdx_F4F_zPkVfuLUknqi"/>
            <w:bookmarkEnd w:id="186"/>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3_ecustom--StockIssuedDuringPeriod"/>
            <w:bookmarkEnd w:id="187"/>
          </w:p>
        </w:tc>
        <w:tc>
          <w:tcPr>
            <w:tcW w:w="1101" w:type="dxa"/>
            <w:tcBorders/>
            <w:shd w:fill="CCEEFF" w:val="clear"/>
            <w:vAlign w:val="center"/>
          </w:tcPr>
          <w:p>
            <w:pPr>
              <w:pStyle w:val="TableContents"/>
              <w:bidi w:val="0"/>
              <w:spacing w:before="0" w:after="283"/>
              <w:jc w:val="right"/>
              <w:rPr>
                <w:b/>
              </w:rPr>
            </w:pPr>
            <w:r>
              <w:rPr>
                <w:b/>
              </w:rPr>
              <w:t>2,381,651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8" w:name="xdx_F2B_zeV5k47tgrbb"/>
            <w:bookmarkEnd w:id="188"/>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9" w:name="xdx_F20_z5fHD8IWaE3c"/>
            <w:bookmarkEnd w:id="189"/>
            <w:r>
              <w:rPr>
                <w:rFonts w:ascii="Times New Roman;Times;Serif" w:hAnsi="Times New Roman;Times;Serif"/>
                <w:b/>
                <w:sz w:val="20"/>
              </w:rPr>
              <w:t>*</w:t>
            </w:r>
          </w:p>
        </w:tc>
        <w:tc>
          <w:tcPr>
            <w:tcW w:w="115" w:type="dxa"/>
            <w:tcBorders/>
            <w:shd w:fill="CCEEFF" w:val="clear"/>
            <w:vAlign w:val="center"/>
          </w:tcPr>
          <w:p>
            <w:pPr>
              <w:pStyle w:val="TableContents"/>
              <w:bidi w:val="0"/>
              <w:spacing w:before="0" w:after="283"/>
              <w:jc w:val="left"/>
              <w:rPr/>
            </w:pPr>
            <w:r>
              <w:rPr/>
              <w:t> </w:t>
            </w:r>
            <w:bookmarkStart w:id="190" w:name="xdx_40C_ecustom--StockIssuedDuringPeriod"/>
            <w:bookmarkEnd w:id="190"/>
          </w:p>
        </w:tc>
      </w:tr>
      <w:tr>
        <w:trPr/>
        <w:tc>
          <w:tcPr>
            <w:tcW w:w="2293" w:type="dxa"/>
            <w:tcBorders/>
            <w:shd w:fill="FFFFFF" w:val="clear"/>
            <w:vAlign w:val="center"/>
          </w:tcPr>
          <w:p>
            <w:pPr>
              <w:pStyle w:val="TableContents"/>
              <w:bidi w:val="0"/>
              <w:spacing w:before="0" w:after="283"/>
              <w:jc w:val="left"/>
              <w:rPr>
                <w:b/>
              </w:rPr>
            </w:pPr>
            <w:r>
              <w:rPr>
                <w:b/>
              </w:rPr>
              <w:t>Issuance of common stock, included at the market offering and pre-funded warrants net of $</w:t>
            </w:r>
            <w:bookmarkStart w:id="191" w:name="xdx_90E_eus-gaap--ProceedsFromIssuanceIn"/>
            <w:bookmarkEnd w:id="191"/>
            <w:r>
              <w:rPr>
                <w:b/>
              </w:rPr>
              <w:t>3,148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2" w:name="xdx_985_ecustom--StockIssuedDuringPeriod"/>
            <w:bookmarkEnd w:id="192"/>
          </w:p>
        </w:tc>
        <w:tc>
          <w:tcPr>
            <w:tcW w:w="1101" w:type="dxa"/>
            <w:tcBorders/>
            <w:shd w:fill="FFFFFF" w:val="clear"/>
            <w:vAlign w:val="center"/>
          </w:tcPr>
          <w:p>
            <w:pPr>
              <w:pStyle w:val="TableContents"/>
              <w:bidi w:val="0"/>
              <w:spacing w:before="0" w:after="283"/>
              <w:jc w:val="right"/>
              <w:rPr>
                <w:b/>
              </w:rPr>
            </w:pPr>
            <w:r>
              <w:rPr>
                <w:b/>
              </w:rPr>
              <w:t>7,510,293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38,713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38,714</w:t>
            </w:r>
          </w:p>
        </w:tc>
        <w:tc>
          <w:tcPr>
            <w:tcW w:w="115" w:type="dxa"/>
            <w:tcBorders/>
            <w:shd w:fill="FFFFFF" w:val="clear"/>
            <w:vAlign w:val="center"/>
          </w:tcPr>
          <w:p>
            <w:pPr>
              <w:pStyle w:val="TableContents"/>
              <w:bidi w:val="0"/>
              <w:spacing w:before="0" w:after="283"/>
              <w:jc w:val="left"/>
              <w:rPr/>
            </w:pPr>
            <w:r>
              <w:rPr/>
              <w:t> </w:t>
            </w:r>
            <w:bookmarkStart w:id="193" w:name="xdx_404_ecustom--StockIssuedDuringPeriod"/>
            <w:bookmarkEnd w:id="193"/>
          </w:p>
        </w:tc>
      </w:tr>
      <w:tr>
        <w:trPr/>
        <w:tc>
          <w:tcPr>
            <w:tcW w:w="2293" w:type="dxa"/>
            <w:tcBorders/>
            <w:shd w:fill="CCEEFF" w:val="clear"/>
            <w:vAlign w:val="center"/>
          </w:tcPr>
          <w:p>
            <w:pPr>
              <w:pStyle w:val="TableContents"/>
              <w:bidi w:val="0"/>
              <w:spacing w:before="0" w:after="283"/>
              <w:jc w:val="left"/>
              <w:rPr>
                <w:b/>
              </w:rPr>
            </w:pPr>
            <w:r>
              <w:rPr>
                <w:b/>
              </w:rPr>
              <w:t xml:space="preserve">Exercise of Warrants Series I to </w:t>
            </w:r>
            <w:bookmarkStart w:id="194" w:name="xdx_900_eus-gaap--ClassOfWarrantOrRightN"/>
            <w:bookmarkEnd w:id="194"/>
            <w:r>
              <w:rPr>
                <w:b/>
              </w:rPr>
              <w:t xml:space="preserve">10,561,685 pre-funded warrants and </w:t>
            </w:r>
            <w:bookmarkStart w:id="195" w:name="xdx_904_ecustom--StockIssuedDuringPeriod"/>
            <w:bookmarkEnd w:id="195"/>
            <w:r>
              <w:rPr>
                <w:b/>
              </w:rPr>
              <w:t>2,352,393 common stock, net of $</w:t>
            </w:r>
            <w:bookmarkStart w:id="196" w:name="xdx_907_eus-gaap--StockIssued1_pn3n3_c20"/>
            <w:bookmarkEnd w:id="196"/>
            <w:r>
              <w:rPr>
                <w:b/>
              </w:rPr>
              <w:t>1,000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A_ecustom--StockIssuedDuringPeriod"/>
            <w:bookmarkEnd w:id="197"/>
          </w:p>
        </w:tc>
        <w:tc>
          <w:tcPr>
            <w:tcW w:w="1101" w:type="dxa"/>
            <w:tcBorders/>
            <w:shd w:fill="CCEEFF" w:val="clear"/>
            <w:vAlign w:val="center"/>
          </w:tcPr>
          <w:p>
            <w:pPr>
              <w:pStyle w:val="TableContents"/>
              <w:bidi w:val="0"/>
              <w:spacing w:before="0" w:after="283"/>
              <w:jc w:val="right"/>
              <w:rPr>
                <w:b/>
              </w:rPr>
            </w:pPr>
            <w:r>
              <w:rPr>
                <w:b/>
              </w:rPr>
              <w:t>2,352,393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98" w:name="xdx_F24_zBeVvTSX4R4d"/>
            <w:bookmarkEnd w:id="198"/>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16,855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16,855</w:t>
            </w:r>
          </w:p>
        </w:tc>
        <w:tc>
          <w:tcPr>
            <w:tcW w:w="115" w:type="dxa"/>
            <w:tcBorders/>
            <w:shd w:fill="CCEEFF" w:val="clear"/>
            <w:vAlign w:val="center"/>
          </w:tcPr>
          <w:p>
            <w:pPr>
              <w:pStyle w:val="TableContents"/>
              <w:bidi w:val="0"/>
              <w:spacing w:before="0" w:after="283"/>
              <w:jc w:val="left"/>
              <w:rPr/>
            </w:pPr>
            <w:r>
              <w:rPr/>
              <w:t> </w:t>
            </w:r>
            <w:bookmarkStart w:id="199" w:name="xdx_404_ecustom--SharebasedCompensationR"/>
            <w:bookmarkEnd w:id="199"/>
          </w:p>
        </w:tc>
      </w:tr>
      <w:tr>
        <w:trPr/>
        <w:tc>
          <w:tcPr>
            <w:tcW w:w="2293" w:type="dxa"/>
            <w:tcBorders/>
            <w:shd w:fill="FFFF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200" w:name="xdx_903_eus-gaap--StockIssuedDuringPerio"/>
            <w:bookmarkEnd w:id="200"/>
            <w:r>
              <w:rPr>
                <w:b/>
              </w:rPr>
              <w:t>322,919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1" w:name="xdx_98B_ecustom--SharebasedCompensationR"/>
            <w:bookmarkEnd w:id="201"/>
          </w:p>
        </w:tc>
        <w:tc>
          <w:tcPr>
            <w:tcW w:w="1101" w:type="dxa"/>
            <w:tcBorders/>
            <w:shd w:fill="FFFFFF" w:val="clear"/>
            <w:vAlign w:val="center"/>
          </w:tcPr>
          <w:p>
            <w:pPr>
              <w:pStyle w:val="TableContents"/>
              <w:bidi w:val="0"/>
              <w:spacing w:before="0" w:after="283"/>
              <w:jc w:val="right"/>
              <w:rPr>
                <w:b/>
              </w:rPr>
            </w:pPr>
            <w:r>
              <w:rPr>
                <w:b/>
              </w:rPr>
              <w:t>3,063,771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02" w:name="xdx_F2F_zYzusglRxHY8"/>
            <w:bookmarkEnd w:id="202"/>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9,484</w:t>
            </w:r>
          </w:p>
        </w:tc>
        <w:tc>
          <w:tcPr>
            <w:tcW w:w="115" w:type="dxa"/>
            <w:tcBorders/>
            <w:shd w:fill="FFFFFF" w:val="clear"/>
            <w:vAlign w:val="center"/>
          </w:tcPr>
          <w:p>
            <w:pPr>
              <w:pStyle w:val="TableContents"/>
              <w:bidi w:val="0"/>
              <w:spacing w:before="0" w:after="283"/>
              <w:jc w:val="left"/>
              <w:rPr/>
            </w:pPr>
            <w:r>
              <w:rPr/>
              <w:t> </w:t>
            </w:r>
            <w:bookmarkStart w:id="203" w:name="xdx_43E_c20250101__20250930_eus-gaap--St"/>
            <w:bookmarkEnd w:id="203"/>
          </w:p>
        </w:tc>
      </w:tr>
      <w:tr>
        <w:trPr/>
        <w:tc>
          <w:tcPr>
            <w:tcW w:w="2293"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4" w:name="xdx_985_eus-gaap--SharesOutstanding_iE_p"/>
            <w:bookmarkEnd w:id="204"/>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41,919,141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5" w:name="xdx_987_eus-gaap--SharesOutstanding_iE_p"/>
            <w:bookmarkEnd w:id="205"/>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06" w:name="xdx_F22_zJ44RQoNdTA2"/>
            <w:bookmarkEnd w:id="206"/>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(290,531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64,114</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207" w:name="xdx_F0C_zvFCBcBW1Q99"/>
            <w:bookmarkEnd w:id="207"/>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208" w:name="xdx_F1A_zMr4SV8oR944"/>
            <w:bookmarkEnd w:id="208"/>
            <w:r>
              <w:rPr>
                <w:rFonts w:ascii="Times New Roman;Times;Serif" w:hAnsi="Times New Roman;Times;Serif"/>
                <w:sz w:val="20"/>
              </w:rPr>
              <w:t>Represents an amount less than $1 thousand</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2"/>
        <w:gridCol w:w="60"/>
        <w:gridCol w:w="60"/>
        <w:gridCol w:w="1101"/>
        <w:gridCol w:w="60"/>
        <w:gridCol w:w="60"/>
        <w:gridCol w:w="258"/>
        <w:gridCol w:w="602"/>
        <w:gridCol w:w="60"/>
        <w:gridCol w:w="60"/>
        <w:gridCol w:w="100"/>
        <w:gridCol w:w="647"/>
        <w:gridCol w:w="68"/>
        <w:gridCol w:w="68"/>
        <w:gridCol w:w="274"/>
        <w:gridCol w:w="586"/>
        <w:gridCol w:w="60"/>
        <w:gridCol w:w="60"/>
        <w:gridCol w:w="79"/>
        <w:gridCol w:w="1075"/>
        <w:gridCol w:w="60"/>
        <w:gridCol w:w="60"/>
        <w:gridCol w:w="87"/>
        <w:gridCol w:w="1283"/>
        <w:gridCol w:w="95"/>
        <w:gridCol w:w="60"/>
        <w:gridCol w:w="60"/>
        <w:gridCol w:w="755"/>
        <w:gridCol w:w="115"/>
      </w:tblGrid>
      <w:tr>
        <w:trPr/>
        <w:tc>
          <w:tcPr>
            <w:tcW w:w="22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5"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bookmarkStart w:id="209" w:name="xdx_439_c20250701__20250930_eus-gaap--St"/>
            <w:bookmarkEnd w:id="209"/>
          </w:p>
        </w:tc>
      </w:tr>
      <w:tr>
        <w:trPr/>
        <w:tc>
          <w:tcPr>
            <w:tcW w:w="2292" w:type="dxa"/>
            <w:tcBorders/>
            <w:shd w:fill="CCEEFF" w:val="clear"/>
            <w:vAlign w:val="center"/>
          </w:tcPr>
          <w:p>
            <w:pPr>
              <w:pStyle w:val="TableContents"/>
              <w:bidi w:val="0"/>
              <w:spacing w:before="0" w:after="283"/>
              <w:jc w:val="left"/>
              <w:rPr>
                <w:b/>
              </w:rPr>
            </w:pPr>
            <w:r>
              <w:rPr>
                <w:b/>
              </w:rPr>
              <w:t>BALANCE AT July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6_eus-gaap--SharesOutstanding_iS_p"/>
            <w:bookmarkEnd w:id="210"/>
          </w:p>
        </w:tc>
        <w:tc>
          <w:tcPr>
            <w:tcW w:w="1101" w:type="dxa"/>
            <w:tcBorders/>
            <w:shd w:fill="CCEEFF" w:val="clear"/>
            <w:vAlign w:val="center"/>
          </w:tcPr>
          <w:p>
            <w:pPr>
              <w:pStyle w:val="TableContents"/>
              <w:bidi w:val="0"/>
              <w:spacing w:before="0" w:after="283"/>
              <w:jc w:val="right"/>
              <w:rPr>
                <w:b/>
              </w:rPr>
            </w:pPr>
            <w:r>
              <w:rPr>
                <w:b/>
              </w:rPr>
              <w:t>32,552,888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211" w:name="xdx_98A_eus-gaap--SharesOutstanding_iS_p"/>
            <w:bookmarkEnd w:id="211"/>
          </w:p>
        </w:tc>
        <w:tc>
          <w:tcPr>
            <w:tcW w:w="647" w:type="dxa"/>
            <w:tcBorders/>
            <w:shd w:fill="CCEEFF" w:val="cle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12" w:name="xdx_F29_zPjeWBr9Ogj8"/>
            <w:bookmarkEnd w:id="212"/>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298,063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(277,823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20,243</w:t>
            </w:r>
          </w:p>
        </w:tc>
        <w:tc>
          <w:tcPr>
            <w:tcW w:w="115" w:type="dxa"/>
            <w:tcBorders/>
            <w:shd w:fill="CCEEFF" w:val="clear"/>
            <w:vAlign w:val="center"/>
          </w:tcPr>
          <w:p>
            <w:pPr>
              <w:pStyle w:val="TableContents"/>
              <w:bidi w:val="0"/>
              <w:spacing w:before="0" w:after="283"/>
              <w:jc w:val="left"/>
              <w:rPr/>
            </w:pPr>
            <w:r>
              <w:rPr/>
              <w:t> </w:t>
            </w:r>
            <w:bookmarkStart w:id="213" w:name="xdx_430_c20250701__20250930_eus-gaap--St"/>
            <w:bookmarkEnd w:id="213"/>
          </w:p>
        </w:tc>
      </w:tr>
      <w:tr>
        <w:trPr/>
        <w:tc>
          <w:tcPr>
            <w:tcW w:w="2292"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6_eus-gaap--SharesOutstanding_iS_p"/>
            <w:bookmarkEnd w:id="214"/>
          </w:p>
        </w:tc>
        <w:tc>
          <w:tcPr>
            <w:tcW w:w="1101" w:type="dxa"/>
            <w:tcBorders/>
            <w:shd w:fill="CCEEFF" w:val="clear"/>
            <w:vAlign w:val="center"/>
          </w:tcPr>
          <w:p>
            <w:pPr>
              <w:pStyle w:val="TableContents"/>
              <w:bidi w:val="0"/>
              <w:spacing w:before="0" w:after="283"/>
              <w:jc w:val="right"/>
              <w:rPr>
                <w:b/>
              </w:rPr>
            </w:pPr>
            <w:r>
              <w:rPr>
                <w:b/>
              </w:rPr>
              <w:t>32,552,888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215" w:name="xdx_982_eus-gaap--SharesOutstanding_iS_p"/>
            <w:bookmarkEnd w:id="215"/>
          </w:p>
        </w:tc>
        <w:tc>
          <w:tcPr>
            <w:tcW w:w="647" w:type="dxa"/>
            <w:tcBorders/>
            <w:shd w:fill="CCEEFF" w:val="cle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16" w:name="xdx_F28_zVqGEXuOUuXe"/>
            <w:bookmarkEnd w:id="216"/>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298,063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(277,823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20,243</w:t>
            </w:r>
          </w:p>
        </w:tc>
        <w:tc>
          <w:tcPr>
            <w:tcW w:w="115" w:type="dxa"/>
            <w:tcBorders/>
            <w:shd w:fill="CCEEFF" w:val="clear"/>
            <w:vAlign w:val="center"/>
          </w:tcPr>
          <w:p>
            <w:pPr>
              <w:pStyle w:val="TableContents"/>
              <w:bidi w:val="0"/>
              <w:spacing w:before="0" w:after="283"/>
              <w:jc w:val="left"/>
              <w:rPr/>
            </w:pPr>
            <w:r>
              <w:rPr/>
              <w:t> </w:t>
            </w:r>
            <w:bookmarkStart w:id="217" w:name="xdx_40B_eus-gaap--NetIncomeLoss_zxlyJbfW"/>
            <w:bookmarkEnd w:id="217"/>
          </w:p>
        </w:tc>
      </w:tr>
      <w:tr>
        <w:trPr/>
        <w:tc>
          <w:tcPr>
            <w:tcW w:w="229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(12,708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(12,708</w:t>
            </w:r>
          </w:p>
        </w:tc>
        <w:tc>
          <w:tcPr>
            <w:tcW w:w="115" w:type="dxa"/>
            <w:tcBorders/>
            <w:shd w:fill="FFFFFF" w:val="clear"/>
            <w:vAlign w:val="center"/>
          </w:tcPr>
          <w:p>
            <w:pPr>
              <w:pStyle w:val="TableContents"/>
              <w:bidi w:val="0"/>
              <w:spacing w:before="0" w:after="283"/>
              <w:jc w:val="left"/>
              <w:rPr>
                <w:b/>
              </w:rPr>
            </w:pPr>
            <w:r>
              <w:rPr>
                <w:b/>
              </w:rPr>
              <w:t>)</w:t>
            </w:r>
            <w:bookmarkStart w:id="218" w:name="xdx_406_ecustom--StockIssuedDuringPeriod"/>
            <w:bookmarkEnd w:id="218"/>
          </w:p>
        </w:tc>
      </w:tr>
      <w:tr>
        <w:trPr/>
        <w:tc>
          <w:tcPr>
            <w:tcW w:w="2292"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9" w:name="xdx_986_ecustom--StockIssuedDuringPeriod"/>
            <w:bookmarkEnd w:id="219"/>
          </w:p>
        </w:tc>
        <w:tc>
          <w:tcPr>
            <w:tcW w:w="1101" w:type="dxa"/>
            <w:tcBorders/>
            <w:shd w:fill="CCEEFF" w:val="clear"/>
            <w:vAlign w:val="center"/>
          </w:tcPr>
          <w:p>
            <w:pPr>
              <w:pStyle w:val="TableContents"/>
              <w:bidi w:val="0"/>
              <w:spacing w:before="0" w:after="283"/>
              <w:jc w:val="right"/>
              <w:rPr>
                <w:b/>
              </w:rPr>
            </w:pPr>
            <w:r>
              <w:rPr>
                <w:b/>
              </w:rPr>
              <w:t>970,098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20" w:name="xdx_F23_z7TyGc3qC4K3"/>
            <w:bookmarkEnd w:id="220"/>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221" w:name="xdx_F26_zXavpjXqogki"/>
            <w:bookmarkEnd w:id="221"/>
            <w:r>
              <w:rPr>
                <w:rFonts w:ascii="Times New Roman;Times;Serif" w:hAnsi="Times New Roman;Times;Serif"/>
                <w:b/>
                <w:sz w:val="20"/>
              </w:rPr>
              <w:t>*</w:t>
            </w:r>
          </w:p>
        </w:tc>
        <w:tc>
          <w:tcPr>
            <w:tcW w:w="115" w:type="dxa"/>
            <w:tcBorders/>
            <w:shd w:fill="CCEEFF" w:val="clear"/>
            <w:vAlign w:val="center"/>
          </w:tcPr>
          <w:p>
            <w:pPr>
              <w:pStyle w:val="TableContents"/>
              <w:bidi w:val="0"/>
              <w:spacing w:before="0" w:after="283"/>
              <w:jc w:val="left"/>
              <w:rPr/>
            </w:pPr>
            <w:r>
              <w:rPr/>
              <w:t> </w:t>
            </w:r>
            <w:bookmarkStart w:id="222" w:name="xdx_404_ecustom--StockIssuedDuringPeriod"/>
            <w:bookmarkEnd w:id="222"/>
          </w:p>
        </w:tc>
      </w:tr>
      <w:tr>
        <w:trPr/>
        <w:tc>
          <w:tcPr>
            <w:tcW w:w="2292" w:type="dxa"/>
            <w:tcBorders/>
            <w:shd w:fill="FFFFFF" w:val="clear"/>
            <w:vAlign w:val="center"/>
          </w:tcPr>
          <w:p>
            <w:pPr>
              <w:pStyle w:val="TableContents"/>
              <w:bidi w:val="0"/>
              <w:spacing w:before="0" w:after="283"/>
              <w:jc w:val="left"/>
              <w:rPr>
                <w:b/>
              </w:rPr>
            </w:pPr>
            <w:r>
              <w:rPr>
                <w:b/>
              </w:rPr>
              <w:t xml:space="preserve">Exercise of Warrants Series I to </w:t>
            </w:r>
            <w:bookmarkStart w:id="223" w:name="xdx_908_eus-gaap--ClassOfWarrantOrRightN"/>
            <w:bookmarkEnd w:id="223"/>
            <w:r>
              <w:rPr>
                <w:b/>
              </w:rPr>
              <w:t xml:space="preserve">10,561,685 pre-funded warrants and </w:t>
            </w:r>
            <w:bookmarkStart w:id="224" w:name="xdx_900_ecustom--StockIssuedDuringPeriod"/>
            <w:bookmarkEnd w:id="224"/>
            <w:r>
              <w:rPr>
                <w:b/>
              </w:rPr>
              <w:t>943,641 common stock, net of $</w:t>
            </w:r>
            <w:bookmarkStart w:id="225" w:name="xdx_90C_eus-gaap--StockIssued1_pn3n3_c20"/>
            <w:bookmarkEnd w:id="225"/>
            <w:r>
              <w:rPr>
                <w:b/>
              </w:rPr>
              <w:t>891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A_ecustom--StockIssuedDuringPeriod"/>
            <w:bookmarkEnd w:id="226"/>
          </w:p>
        </w:tc>
        <w:tc>
          <w:tcPr>
            <w:tcW w:w="1101" w:type="dxa"/>
            <w:tcBorders/>
            <w:shd w:fill="FFFFFF" w:val="clear"/>
            <w:vAlign w:val="center"/>
          </w:tcPr>
          <w:p>
            <w:pPr>
              <w:pStyle w:val="TableContents"/>
              <w:bidi w:val="0"/>
              <w:spacing w:before="0" w:after="283"/>
              <w:jc w:val="right"/>
              <w:rPr>
                <w:b/>
              </w:rPr>
            </w:pPr>
            <w:r>
              <w:rPr>
                <w:b/>
              </w:rPr>
              <w:t>943,641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27" w:name="xdx_F26_zAXLjBE3UQxg"/>
            <w:bookmarkEnd w:id="227"/>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15,017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15,017</w:t>
            </w:r>
          </w:p>
        </w:tc>
        <w:tc>
          <w:tcPr>
            <w:tcW w:w="115" w:type="dxa"/>
            <w:tcBorders/>
            <w:shd w:fill="FFFFFF" w:val="clear"/>
            <w:vAlign w:val="center"/>
          </w:tcPr>
          <w:p>
            <w:pPr>
              <w:pStyle w:val="TableContents"/>
              <w:bidi w:val="0"/>
              <w:spacing w:before="0" w:after="283"/>
              <w:jc w:val="left"/>
              <w:rPr/>
            </w:pPr>
            <w:r>
              <w:rPr/>
              <w:t> </w:t>
            </w:r>
            <w:bookmarkStart w:id="228" w:name="xdx_40B_ecustom--StockIssuedDuringPeriod"/>
            <w:bookmarkEnd w:id="228"/>
          </w:p>
        </w:tc>
      </w:tr>
      <w:tr>
        <w:trPr/>
        <w:tc>
          <w:tcPr>
            <w:tcW w:w="2292" w:type="dxa"/>
            <w:tcBorders/>
            <w:shd w:fill="FFFFFF" w:val="clear"/>
            <w:vAlign w:val="center"/>
          </w:tcPr>
          <w:p>
            <w:pPr>
              <w:pStyle w:val="TableContents"/>
              <w:bidi w:val="0"/>
              <w:spacing w:before="0" w:after="283"/>
              <w:jc w:val="left"/>
              <w:rPr>
                <w:b/>
              </w:rPr>
            </w:pPr>
            <w:r>
              <w:rPr>
                <w:b/>
              </w:rPr>
              <w:t>Exercise of Warrants to pre-funded warrants and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9" w:name="xdx_988_ecustom--StockIssuedDuringPeriod"/>
            <w:bookmarkEnd w:id="229"/>
          </w:p>
        </w:tc>
        <w:tc>
          <w:tcPr>
            <w:tcW w:w="1101" w:type="dxa"/>
            <w:tcBorders/>
            <w:shd w:fill="FFFFFF" w:val="clear"/>
            <w:vAlign w:val="center"/>
          </w:tcPr>
          <w:p>
            <w:pPr>
              <w:pStyle w:val="TableContents"/>
              <w:bidi w:val="0"/>
              <w:spacing w:before="0" w:after="283"/>
              <w:jc w:val="right"/>
              <w:rPr>
                <w:b/>
              </w:rPr>
            </w:pPr>
            <w:r>
              <w:rPr>
                <w:b/>
              </w:rPr>
              <w:t>943,641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30" w:name="xdx_F23_zXGSXsWg5Dw9"/>
            <w:bookmarkEnd w:id="230"/>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15,017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15,017</w:t>
            </w:r>
          </w:p>
        </w:tc>
        <w:tc>
          <w:tcPr>
            <w:tcW w:w="115" w:type="dxa"/>
            <w:tcBorders/>
            <w:shd w:fill="FFFFFF" w:val="clear"/>
            <w:vAlign w:val="center"/>
          </w:tcPr>
          <w:p>
            <w:pPr>
              <w:pStyle w:val="TableContents"/>
              <w:bidi w:val="0"/>
              <w:spacing w:before="0" w:after="283"/>
              <w:jc w:val="left"/>
              <w:rPr/>
            </w:pPr>
            <w:r>
              <w:rPr/>
              <w:t> </w:t>
            </w:r>
            <w:bookmarkStart w:id="231" w:name="xdx_405_ecustom--StockIssuedDuringPeriod"/>
            <w:bookmarkEnd w:id="231"/>
          </w:p>
        </w:tc>
      </w:tr>
      <w:tr>
        <w:trPr/>
        <w:tc>
          <w:tcPr>
            <w:tcW w:w="2292" w:type="dxa"/>
            <w:tcBorders/>
            <w:shd w:fill="CCEEFF" w:val="clear"/>
            <w:vAlign w:val="center"/>
          </w:tcPr>
          <w:p>
            <w:pPr>
              <w:pStyle w:val="TableContents"/>
              <w:bidi w:val="0"/>
              <w:spacing w:before="0" w:after="283"/>
              <w:jc w:val="left"/>
              <w:rPr>
                <w:b/>
              </w:rPr>
            </w:pPr>
            <w:r>
              <w:rPr>
                <w:b/>
              </w:rPr>
              <w:t xml:space="preserve">Issuance of common stock, included at the market offering and </w:t>
            </w:r>
            <w:bookmarkStart w:id="232" w:name="xdx_90C_ecustom--StockIssuedDuringPeriod"/>
            <w:bookmarkEnd w:id="232"/>
            <w:r>
              <w:rPr>
                <w:b/>
              </w:rPr>
              <w:t>9,764,804 pre-funded warrants net of $</w:t>
            </w:r>
            <w:bookmarkStart w:id="233" w:name="xdx_900_eus-gaap--ProceedsFromIssuanceIn"/>
            <w:bookmarkEnd w:id="233"/>
            <w:r>
              <w:rPr>
                <w:b/>
              </w:rPr>
              <w:t>3,126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4" w:name="xdx_98D_ecustom--StockIssuedDuringPeriod"/>
            <w:bookmarkEnd w:id="234"/>
          </w:p>
        </w:tc>
        <w:tc>
          <w:tcPr>
            <w:tcW w:w="1101" w:type="dxa"/>
            <w:tcBorders/>
            <w:shd w:fill="CCEEFF" w:val="clear"/>
            <w:vAlign w:val="center"/>
          </w:tcPr>
          <w:p>
            <w:pPr>
              <w:pStyle w:val="TableContents"/>
              <w:bidi w:val="0"/>
              <w:spacing w:before="0" w:after="283"/>
              <w:jc w:val="right"/>
              <w:rPr>
                <w:b/>
              </w:rPr>
            </w:pPr>
            <w:r>
              <w:rPr>
                <w:b/>
              </w:rPr>
              <w:t>7,236,672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38,017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38,018</w:t>
            </w:r>
          </w:p>
        </w:tc>
        <w:tc>
          <w:tcPr>
            <w:tcW w:w="115" w:type="dxa"/>
            <w:tcBorders/>
            <w:shd w:fill="CCEEFF" w:val="clear"/>
            <w:vAlign w:val="center"/>
          </w:tcPr>
          <w:p>
            <w:pPr>
              <w:pStyle w:val="TableContents"/>
              <w:bidi w:val="0"/>
              <w:spacing w:before="0" w:after="283"/>
              <w:jc w:val="left"/>
              <w:rPr/>
            </w:pPr>
            <w:r>
              <w:rPr/>
              <w:t> </w:t>
            </w:r>
            <w:bookmarkStart w:id="235" w:name="xdx_409_ecustom--StockIssuedDuringPeriod"/>
            <w:bookmarkEnd w:id="235"/>
          </w:p>
        </w:tc>
      </w:tr>
      <w:tr>
        <w:trPr/>
        <w:tc>
          <w:tcPr>
            <w:tcW w:w="2292" w:type="dxa"/>
            <w:tcBorders/>
            <w:shd w:fill="CCEEFF" w:val="clear"/>
            <w:vAlign w:val="center"/>
          </w:tcPr>
          <w:p>
            <w:pPr>
              <w:pStyle w:val="TableContents"/>
              <w:bidi w:val="0"/>
              <w:spacing w:before="0" w:after="283"/>
              <w:jc w:val="left"/>
              <w:rPr>
                <w:b/>
              </w:rPr>
            </w:pPr>
            <w:r>
              <w:rPr>
                <w:b/>
              </w:rPr>
              <w:t>Issuance of common stock, included at the market offering and pre-funded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7_ecustom--StockIssuedDuringPeriod"/>
            <w:bookmarkEnd w:id="236"/>
          </w:p>
        </w:tc>
        <w:tc>
          <w:tcPr>
            <w:tcW w:w="1101" w:type="dxa"/>
            <w:tcBorders/>
            <w:shd w:fill="CCEEFF" w:val="clear"/>
            <w:vAlign w:val="center"/>
          </w:tcPr>
          <w:p>
            <w:pPr>
              <w:pStyle w:val="TableContents"/>
              <w:bidi w:val="0"/>
              <w:spacing w:before="0" w:after="283"/>
              <w:jc w:val="right"/>
              <w:rPr>
                <w:b/>
              </w:rPr>
            </w:pPr>
            <w:r>
              <w:rPr>
                <w:b/>
              </w:rPr>
              <w:t>7,236,672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38,017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38,018</w:t>
            </w:r>
          </w:p>
        </w:tc>
        <w:tc>
          <w:tcPr>
            <w:tcW w:w="115" w:type="dxa"/>
            <w:tcBorders/>
            <w:shd w:fill="CCEEFF" w:val="clear"/>
            <w:vAlign w:val="center"/>
          </w:tcPr>
          <w:p>
            <w:pPr>
              <w:pStyle w:val="TableContents"/>
              <w:bidi w:val="0"/>
              <w:spacing w:before="0" w:after="283"/>
              <w:jc w:val="left"/>
              <w:rPr/>
            </w:pPr>
            <w:r>
              <w:rPr/>
              <w:t> </w:t>
            </w:r>
            <w:bookmarkStart w:id="237" w:name="xdx_404_ecustom--SharebasedCompensationR"/>
            <w:bookmarkEnd w:id="237"/>
          </w:p>
        </w:tc>
      </w:tr>
      <w:tr>
        <w:trPr/>
        <w:tc>
          <w:tcPr>
            <w:tcW w:w="2292" w:type="dxa"/>
            <w:tcBorders/>
            <w:shd w:fill="FFFF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238" w:name="xdx_900_eus-gaap--StockIssuedDuringPerio"/>
            <w:bookmarkEnd w:id="238"/>
            <w:r>
              <w:rPr>
                <w:b/>
              </w:rPr>
              <w:t>34,712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9" w:name="xdx_983_ecustom--SharebasedCompensationR"/>
            <w:bookmarkEnd w:id="239"/>
          </w:p>
        </w:tc>
        <w:tc>
          <w:tcPr>
            <w:tcW w:w="1101" w:type="dxa"/>
            <w:tcBorders/>
            <w:shd w:fill="FFFFFF" w:val="clear"/>
            <w:vAlign w:val="center"/>
          </w:tcPr>
          <w:p>
            <w:pPr>
              <w:pStyle w:val="TableContents"/>
              <w:bidi w:val="0"/>
              <w:spacing w:before="0" w:after="283"/>
              <w:jc w:val="right"/>
              <w:rPr>
                <w:b/>
              </w:rPr>
            </w:pPr>
            <w:r>
              <w:rPr>
                <w:b/>
              </w:rPr>
              <w:t>215,842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40" w:name="xdx_F2C_z39eqsHOZ671"/>
            <w:bookmarkEnd w:id="240"/>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3,544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3,544</w:t>
            </w:r>
          </w:p>
        </w:tc>
        <w:tc>
          <w:tcPr>
            <w:tcW w:w="115" w:type="dxa"/>
            <w:tcBorders/>
            <w:shd w:fill="FFFFFF" w:val="clear"/>
            <w:vAlign w:val="center"/>
          </w:tcPr>
          <w:p>
            <w:pPr>
              <w:pStyle w:val="TableContents"/>
              <w:bidi w:val="0"/>
              <w:spacing w:before="0" w:after="283"/>
              <w:jc w:val="left"/>
              <w:rPr/>
            </w:pPr>
            <w:r>
              <w:rPr/>
              <w:t> </w:t>
            </w:r>
            <w:bookmarkStart w:id="241" w:name="xdx_40B_ecustom--SharebasedCompensationR"/>
            <w:bookmarkEnd w:id="241"/>
          </w:p>
        </w:tc>
      </w:tr>
      <w:tr>
        <w:trPr/>
        <w:tc>
          <w:tcPr>
            <w:tcW w:w="2292" w:type="dxa"/>
            <w:tcBorders/>
            <w:shd w:fill="FFFFFF" w:val="clear"/>
            <w:vAlign w:val="center"/>
          </w:tcPr>
          <w:p>
            <w:pPr>
              <w:pStyle w:val="TableContents"/>
              <w:bidi w:val="0"/>
              <w:spacing w:before="0" w:after="283"/>
              <w:jc w:val="left"/>
              <w:rPr>
                <w:b/>
              </w:rPr>
            </w:pPr>
            <w:r>
              <w:rPr>
                <w:b/>
              </w:rPr>
              <w:t>Share-based compensation related to stock, restricted stock, restricted stock units and stock options award, net of forfeitures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2" w:name="xdx_980_ecustom--SharebasedCompensationR"/>
            <w:bookmarkEnd w:id="242"/>
          </w:p>
        </w:tc>
        <w:tc>
          <w:tcPr>
            <w:tcW w:w="1101" w:type="dxa"/>
            <w:tcBorders/>
            <w:shd w:fill="FFFFFF" w:val="clear"/>
            <w:vAlign w:val="center"/>
          </w:tcPr>
          <w:p>
            <w:pPr>
              <w:pStyle w:val="TableContents"/>
              <w:bidi w:val="0"/>
              <w:spacing w:before="0" w:after="283"/>
              <w:jc w:val="right"/>
              <w:rPr>
                <w:b/>
              </w:rPr>
            </w:pPr>
            <w:r>
              <w:rPr>
                <w:b/>
              </w:rPr>
              <w:t>215,842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43" w:name="xdx_F2E_zbfWnTo4vwg6"/>
            <w:bookmarkEnd w:id="243"/>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3,544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3,544</w:t>
            </w:r>
          </w:p>
        </w:tc>
        <w:tc>
          <w:tcPr>
            <w:tcW w:w="115" w:type="dxa"/>
            <w:tcBorders/>
            <w:shd w:fill="FFFFFF" w:val="clear"/>
            <w:vAlign w:val="center"/>
          </w:tcPr>
          <w:p>
            <w:pPr>
              <w:pStyle w:val="TableContents"/>
              <w:bidi w:val="0"/>
              <w:spacing w:before="0" w:after="283"/>
              <w:jc w:val="left"/>
              <w:rPr/>
            </w:pPr>
            <w:r>
              <w:rPr/>
              <w:t> </w:t>
            </w:r>
            <w:bookmarkStart w:id="244" w:name="xdx_433_c20250701__20250930_eus-gaap--St"/>
            <w:bookmarkEnd w:id="244"/>
          </w:p>
        </w:tc>
      </w:tr>
      <w:tr>
        <w:trPr/>
        <w:tc>
          <w:tcPr>
            <w:tcW w:w="2292"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5" w:name="xdx_983_eus-gaap--SharesOutstanding_iE_p"/>
            <w:bookmarkEnd w:id="245"/>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41,919,141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6" w:name="xdx_981_eus-gaap--SharesOutstanding_iE_p"/>
            <w:bookmarkEnd w:id="246"/>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47" w:name="xdx_F27_zQ80zsTeI6Yi"/>
            <w:bookmarkEnd w:id="247"/>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(290,531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64,114</w:t>
            </w:r>
          </w:p>
        </w:tc>
        <w:tc>
          <w:tcPr>
            <w:tcW w:w="115" w:type="dxa"/>
            <w:tcBorders/>
            <w:shd w:fill="CCEEFF" w:val="clear"/>
            <w:vAlign w:val="center"/>
          </w:tcPr>
          <w:p>
            <w:pPr>
              <w:pStyle w:val="TableContents"/>
              <w:bidi w:val="0"/>
              <w:spacing w:before="0" w:after="283"/>
              <w:jc w:val="left"/>
              <w:rPr/>
            </w:pPr>
            <w:r>
              <w:rPr/>
              <w:t> </w:t>
            </w:r>
            <w:bookmarkStart w:id="248" w:name="xdx_431_c20250701__20250930_eus-gaap--St"/>
            <w:bookmarkEnd w:id="248"/>
          </w:p>
        </w:tc>
      </w:tr>
      <w:tr>
        <w:trPr/>
        <w:tc>
          <w:tcPr>
            <w:tcW w:w="2292"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9" w:name="xdx_98C_eus-gaap--SharesOutstanding_iE_p"/>
            <w:bookmarkEnd w:id="249"/>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41,919,141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0" w:name="xdx_985_eus-gaap--SharesOutstanding_iE_p"/>
            <w:bookmarkEnd w:id="250"/>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251" w:name="xdx_F29_zHkqIYyj2Yq4"/>
            <w:bookmarkEnd w:id="251"/>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(290,531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64,114</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40"/>
        <w:gridCol w:w="60"/>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252" w:name="xdx_F07_zLTCc0Jl5vq6"/>
            <w:bookmarkEnd w:id="252"/>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253" w:name="xdx_F1D_za1JpnuClCuf"/>
            <w:bookmarkEnd w:id="253"/>
            <w:r>
              <w:rPr>
                <w:rFonts w:ascii="Times New Roman;Times;Serif" w:hAnsi="Times New Roman;Times;Serif"/>
                <w:sz w:val="20"/>
              </w:rPr>
              <w:t>Represents an amount less than $1 thousand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4" w:name="Rma_004"/>
      <w:bookmarkEnd w:id="254"/>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5" w:name="xdx_307_112_pn3n3_z5ljdkd9KvDk"/>
      <w:bookmarkStart w:id="256" w:name="xdx_307_112_pn3n3_z5ljdkd9KvDk"/>
      <w:bookmarkEnd w:id="256"/>
    </w:p>
    <w:tbl>
      <w:tblPr>
        <w:tblW w:w="10205" w:type="dxa"/>
        <w:jc w:val="left"/>
        <w:tblInd w:w="0" w:type="dxa"/>
        <w:tblLayout w:type="fixed"/>
        <w:tblCellMar>
          <w:top w:w="0" w:type="dxa"/>
          <w:left w:w="0" w:type="dxa"/>
          <w:bottom w:w="0" w:type="dxa"/>
          <w:right w:w="0" w:type="dxa"/>
        </w:tblCellMar>
      </w:tblPr>
      <w:tblGrid>
        <w:gridCol w:w="8019"/>
        <w:gridCol w:w="60"/>
        <w:gridCol w:w="145"/>
        <w:gridCol w:w="782"/>
        <w:gridCol w:w="97"/>
        <w:gridCol w:w="62"/>
        <w:gridCol w:w="145"/>
        <w:gridCol w:w="782"/>
        <w:gridCol w:w="113"/>
      </w:tblGrid>
      <w:tr>
        <w:trPr/>
        <w:tc>
          <w:tcPr>
            <w:tcW w:w="8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7" w:name="xdx_493_20250101__20250930_zEUAE9xWzQUa"/>
            <w:bookmarkEnd w:id="257"/>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258" w:name="xdx_497_20240101__20240930_zDjFiagNzP0e"/>
            <w:bookmarkEnd w:id="258"/>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8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3" w:type="dxa"/>
            <w:tcBorders/>
            <w:vAlign w:val="center"/>
          </w:tcPr>
          <w:p>
            <w:pPr>
              <w:pStyle w:val="TableContents"/>
              <w:bidi w:val="0"/>
              <w:spacing w:before="0" w:after="283"/>
              <w:jc w:val="left"/>
              <w:rPr/>
            </w:pPr>
            <w:r>
              <w:rPr/>
              <w:t> </w:t>
            </w:r>
          </w:p>
        </w:tc>
      </w:tr>
      <w:tr>
        <w:trPr/>
        <w:tc>
          <w:tcPr>
            <w:tcW w:w="8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259" w:name="xdx_40F_eus-gaap--NetCashProvidedByUsedI"/>
            <w:bookmarkEnd w:id="259"/>
          </w:p>
        </w:tc>
      </w:tr>
      <w:tr>
        <w:trPr/>
        <w:tc>
          <w:tcPr>
            <w:tcW w:w="8019"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60" w:name="xdx_40F_eus-gaap--NetIncomeLoss_i01_maNC"/>
            <w:bookmarkEnd w:id="260"/>
          </w:p>
        </w:tc>
      </w:tr>
      <w:tr>
        <w:trPr/>
        <w:tc>
          <w:tcPr>
            <w:tcW w:w="801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(37,025</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(22,831</w:t>
            </w:r>
          </w:p>
        </w:tc>
        <w:tc>
          <w:tcPr>
            <w:tcW w:w="113" w:type="dxa"/>
            <w:tcBorders/>
            <w:shd w:fill="FFFFFF" w:val="clear"/>
            <w:vAlign w:val="center"/>
          </w:tcPr>
          <w:p>
            <w:pPr>
              <w:pStyle w:val="TableContents"/>
              <w:bidi w:val="0"/>
              <w:spacing w:before="0" w:after="283"/>
              <w:jc w:val="left"/>
              <w:rPr/>
            </w:pPr>
            <w:r>
              <w:rPr/>
              <w:t>)</w:t>
            </w:r>
            <w:bookmarkStart w:id="261" w:name="xdx_400_eus-gaap--AdjustmentsNoncashItem"/>
            <w:bookmarkEnd w:id="261"/>
          </w:p>
        </w:tc>
      </w:tr>
      <w:tr>
        <w:trPr/>
        <w:tc>
          <w:tcPr>
            <w:tcW w:w="8019" w:type="dxa"/>
            <w:tcBorders/>
            <w:shd w:fill="CCEE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62" w:name="xdx_401_eus-gaap--Depreciation_i02_maNCP"/>
            <w:bookmarkEnd w:id="262"/>
          </w:p>
        </w:tc>
      </w:tr>
      <w:tr>
        <w:trPr/>
        <w:tc>
          <w:tcPr>
            <w:tcW w:w="8019"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333</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205</w:t>
            </w:r>
          </w:p>
        </w:tc>
        <w:tc>
          <w:tcPr>
            <w:tcW w:w="113" w:type="dxa"/>
            <w:tcBorders/>
            <w:shd w:fill="FFFFFF" w:val="clear"/>
            <w:vAlign w:val="center"/>
          </w:tcPr>
          <w:p>
            <w:pPr>
              <w:pStyle w:val="TableContents"/>
              <w:bidi w:val="0"/>
              <w:spacing w:before="0" w:after="283"/>
              <w:jc w:val="left"/>
              <w:rPr/>
            </w:pPr>
            <w:r>
              <w:rPr/>
              <w:t> </w:t>
            </w:r>
            <w:bookmarkStart w:id="263" w:name="xdx_404_eus-gaap--GainLossOnSaleOfProper"/>
            <w:bookmarkEnd w:id="263"/>
          </w:p>
        </w:tc>
      </w:tr>
      <w:tr>
        <w:trPr/>
        <w:tc>
          <w:tcPr>
            <w:tcW w:w="8019" w:type="dxa"/>
            <w:tcBorders/>
            <w:shd w:fill="CCEEFF" w:val="clear"/>
            <w:vAlign w:val="center"/>
          </w:tcPr>
          <w:p>
            <w:pPr>
              <w:pStyle w:val="TableContents"/>
              <w:bidi w:val="0"/>
              <w:spacing w:before="0" w:after="283"/>
              <w:jc w:val="left"/>
              <w:rPr/>
            </w:pPr>
            <w:r>
              <w:rPr/>
              <w:t>Gain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(15</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64" w:name="xdx_405_ecustom--ChangesInFairValueOfMar"/>
            <w:bookmarkEnd w:id="264"/>
          </w:p>
        </w:tc>
      </w:tr>
      <w:tr>
        <w:trPr/>
        <w:tc>
          <w:tcPr>
            <w:tcW w:w="8019" w:type="dxa"/>
            <w:tcBorders/>
            <w:shd w:fill="FFFFFF" w:val="clear"/>
            <w:vAlign w:val="center"/>
          </w:tcPr>
          <w:p>
            <w:pPr>
              <w:pStyle w:val="TableContents"/>
              <w:bidi w:val="0"/>
              <w:spacing w:before="0" w:after="283"/>
              <w:jc w:val="left"/>
              <w:rPr/>
            </w:pPr>
            <w:r>
              <w:rPr/>
              <w:t>Changes in fair value of marketable securities, net of interest received</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(178</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(757</w:t>
            </w:r>
          </w:p>
        </w:tc>
        <w:tc>
          <w:tcPr>
            <w:tcW w:w="113" w:type="dxa"/>
            <w:tcBorders/>
            <w:shd w:fill="FFFFFF" w:val="clear"/>
            <w:vAlign w:val="center"/>
          </w:tcPr>
          <w:p>
            <w:pPr>
              <w:pStyle w:val="TableContents"/>
              <w:bidi w:val="0"/>
              <w:spacing w:before="0" w:after="283"/>
              <w:jc w:val="left"/>
              <w:rPr/>
            </w:pPr>
            <w:r>
              <w:rPr/>
              <w:t>)</w:t>
            </w:r>
            <w:bookmarkStart w:id="265" w:name="xdx_401_ecustom--ChangeInLiabilityForEmp"/>
            <w:bookmarkEnd w:id="265"/>
          </w:p>
        </w:tc>
      </w:tr>
      <w:tr>
        <w:trPr/>
        <w:tc>
          <w:tcPr>
            <w:tcW w:w="8019" w:type="dxa"/>
            <w:tcBorders/>
            <w:shd w:fill="CCEEFF" w:val="clear"/>
            <w:vAlign w:val="center"/>
          </w:tcPr>
          <w:p>
            <w:pPr>
              <w:pStyle w:val="TableContents"/>
              <w:bidi w:val="0"/>
              <w:spacing w:before="0" w:after="283"/>
              <w:jc w:val="left"/>
              <w:rPr/>
            </w:pPr>
            <w:r>
              <w:rPr/>
              <w:t>Change in liability for employees’ rights upon retirement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371</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99</w:t>
            </w:r>
          </w:p>
        </w:tc>
        <w:tc>
          <w:tcPr>
            <w:tcW w:w="113" w:type="dxa"/>
            <w:tcBorders/>
            <w:shd w:fill="CCEEFF" w:val="clear"/>
            <w:vAlign w:val="center"/>
          </w:tcPr>
          <w:p>
            <w:pPr>
              <w:pStyle w:val="TableContents"/>
              <w:bidi w:val="0"/>
              <w:spacing w:before="0" w:after="283"/>
              <w:jc w:val="left"/>
              <w:rPr/>
            </w:pPr>
            <w:r>
              <w:rPr/>
              <w:t> </w:t>
            </w:r>
            <w:bookmarkStart w:id="266" w:name="xdx_40C_eus-gaap--OtherNoncashIncomeExpe"/>
            <w:bookmarkEnd w:id="266"/>
          </w:p>
        </w:tc>
      </w:tr>
      <w:tr>
        <w:trPr/>
        <w:tc>
          <w:tcPr>
            <w:tcW w:w="8019" w:type="dxa"/>
            <w:tcBorders/>
            <w:shd w:fill="FFFFFF" w:val="clear"/>
            <w:vAlign w:val="center"/>
          </w:tcPr>
          <w:p>
            <w:pPr>
              <w:pStyle w:val="TableContents"/>
              <w:bidi w:val="0"/>
              <w:spacing w:before="0" w:after="283"/>
              <w:jc w:val="left"/>
              <w:rPr/>
            </w:pPr>
            <w:r>
              <w:rPr/>
              <w:t>Other financial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(113</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(8</w:t>
            </w:r>
          </w:p>
        </w:tc>
        <w:tc>
          <w:tcPr>
            <w:tcW w:w="113" w:type="dxa"/>
            <w:tcBorders/>
            <w:shd w:fill="FFFFFF" w:val="clear"/>
            <w:vAlign w:val="center"/>
          </w:tcPr>
          <w:p>
            <w:pPr>
              <w:pStyle w:val="TableContents"/>
              <w:bidi w:val="0"/>
              <w:spacing w:before="0" w:after="283"/>
              <w:jc w:val="left"/>
              <w:rPr/>
            </w:pPr>
            <w:r>
              <w:rPr/>
              <w:t>)</w:t>
            </w:r>
            <w:bookmarkStart w:id="267" w:name="xdx_402_ecustom--ChangeInRightOfUseAsset"/>
            <w:bookmarkEnd w:id="267"/>
          </w:p>
        </w:tc>
      </w:tr>
      <w:tr>
        <w:trPr/>
        <w:tc>
          <w:tcPr>
            <w:tcW w:w="8019" w:type="dxa"/>
            <w:tcBorders/>
            <w:shd w:fill="CCEEFF" w:val="clear"/>
            <w:vAlign w:val="center"/>
          </w:tcPr>
          <w:p>
            <w:pPr>
              <w:pStyle w:val="TableContents"/>
              <w:bidi w:val="0"/>
              <w:spacing w:before="0" w:after="283"/>
              <w:jc w:val="left"/>
              <w:rPr/>
            </w:pPr>
            <w:r>
              <w:rPr/>
              <w:t>Change in operating right of use asset and operating leasing liability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480</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(39</w:t>
            </w:r>
          </w:p>
        </w:tc>
        <w:tc>
          <w:tcPr>
            <w:tcW w:w="113" w:type="dxa"/>
            <w:tcBorders/>
            <w:shd w:fill="CCEEFF" w:val="clear"/>
            <w:vAlign w:val="center"/>
          </w:tcPr>
          <w:p>
            <w:pPr>
              <w:pStyle w:val="TableContents"/>
              <w:bidi w:val="0"/>
              <w:spacing w:before="0" w:after="283"/>
              <w:jc w:val="left"/>
              <w:rPr/>
            </w:pPr>
            <w:r>
              <w:rPr/>
              <w:t>)</w:t>
            </w:r>
            <w:bookmarkStart w:id="268" w:name="xdx_406_eus-gaap--ShareBasedCompensation"/>
            <w:bookmarkEnd w:id="268"/>
          </w:p>
        </w:tc>
      </w:tr>
      <w:tr>
        <w:trPr/>
        <w:tc>
          <w:tcPr>
            <w:tcW w:w="8019"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9,484</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7,792</w:t>
            </w:r>
          </w:p>
        </w:tc>
        <w:tc>
          <w:tcPr>
            <w:tcW w:w="113" w:type="dxa"/>
            <w:tcBorders/>
            <w:shd w:fill="FFFFFF" w:val="clear"/>
            <w:vAlign w:val="center"/>
          </w:tcPr>
          <w:p>
            <w:pPr>
              <w:pStyle w:val="TableContents"/>
              <w:bidi w:val="0"/>
              <w:spacing w:before="0" w:after="283"/>
              <w:jc w:val="left"/>
              <w:rPr/>
            </w:pPr>
            <w:r>
              <w:rPr/>
              <w:t> </w:t>
            </w:r>
            <w:bookmarkStart w:id="269" w:name="xdx_402_ecustom--LossGainOnAmountsFunded"/>
            <w:bookmarkEnd w:id="269"/>
          </w:p>
        </w:tc>
      </w:tr>
      <w:tr>
        <w:trPr/>
        <w:tc>
          <w:tcPr>
            <w:tcW w:w="8019" w:type="dxa"/>
            <w:tcBorders/>
            <w:shd w:fill="CCEEFF" w:val="clear"/>
            <w:vAlign w:val="center"/>
          </w:tcPr>
          <w:p>
            <w:pPr>
              <w:pStyle w:val="TableContents"/>
              <w:bidi w:val="0"/>
              <w:spacing w:before="0" w:after="283"/>
              <w:jc w:val="left"/>
              <w:rPr/>
            </w:pPr>
            <w:r>
              <w:rPr/>
              <w:t>Loss (gain) on amounts funded in respect of employee rights upon retirement,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(121</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21</w:t>
            </w:r>
          </w:p>
        </w:tc>
        <w:tc>
          <w:tcPr>
            <w:tcW w:w="113" w:type="dxa"/>
            <w:tcBorders/>
            <w:shd w:fill="CCEEFF" w:val="clear"/>
            <w:vAlign w:val="center"/>
          </w:tcPr>
          <w:p>
            <w:pPr>
              <w:pStyle w:val="TableContents"/>
              <w:bidi w:val="0"/>
              <w:spacing w:before="0" w:after="283"/>
              <w:jc w:val="left"/>
              <w:rPr/>
            </w:pPr>
            <w:r>
              <w:rPr/>
              <w:t> </w:t>
            </w:r>
            <w:bookmarkStart w:id="270" w:name="xdx_405_eus-gaap--IncreaseDecreaseInOper"/>
            <w:bookmarkEnd w:id="270"/>
          </w:p>
        </w:tc>
      </w:tr>
      <w:tr>
        <w:trPr/>
        <w:tc>
          <w:tcPr>
            <w:tcW w:w="8019" w:type="dxa"/>
            <w:tcBorders/>
            <w:shd w:fill="FFFFFF" w:val="clear"/>
            <w:vAlign w:val="center"/>
          </w:tcPr>
          <w:p>
            <w:pPr>
              <w:pStyle w:val="TableContents"/>
              <w:bidi w:val="0"/>
              <w:spacing w:before="0" w:after="283"/>
              <w:jc w:val="left"/>
              <w:rPr/>
            </w:pPr>
            <w:r>
              <w:rPr/>
              <w:t>Changes in operating asset and liability items: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71" w:name="xdx_407_eus-gaap--IncreaseDecreaseInPrep"/>
            <w:bookmarkEnd w:id="271"/>
          </w:p>
        </w:tc>
      </w:tr>
      <w:tr>
        <w:trPr/>
        <w:tc>
          <w:tcPr>
            <w:tcW w:w="8019" w:type="dxa"/>
            <w:tcBorders/>
            <w:shd w:fill="CCEEFF" w:val="clear"/>
            <w:vAlign w:val="center"/>
          </w:tcPr>
          <w:p>
            <w:pPr>
              <w:pStyle w:val="TableContents"/>
              <w:bidi w:val="0"/>
              <w:spacing w:before="0" w:after="283"/>
              <w:jc w:val="left"/>
              <w:rPr/>
            </w:pPr>
            <w:r>
              <w:rPr/>
              <w:t>Decrease (increase) in prepaid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115</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(698</w:t>
            </w:r>
          </w:p>
        </w:tc>
        <w:tc>
          <w:tcPr>
            <w:tcW w:w="113" w:type="dxa"/>
            <w:tcBorders/>
            <w:shd w:fill="CCEEFF" w:val="clear"/>
            <w:vAlign w:val="center"/>
          </w:tcPr>
          <w:p>
            <w:pPr>
              <w:pStyle w:val="TableContents"/>
              <w:bidi w:val="0"/>
              <w:spacing w:before="0" w:after="283"/>
              <w:jc w:val="left"/>
              <w:rPr/>
            </w:pPr>
            <w:r>
              <w:rPr/>
              <w:t>)</w:t>
            </w:r>
            <w:bookmarkStart w:id="272" w:name="xdx_40C_eus-gaap--IncreaseDecreaseInAcco"/>
            <w:bookmarkEnd w:id="272"/>
          </w:p>
        </w:tc>
      </w:tr>
      <w:tr>
        <w:trPr/>
        <w:tc>
          <w:tcPr>
            <w:tcW w:w="8019" w:type="dxa"/>
            <w:tcBorders/>
            <w:shd w:fill="FFFFFF" w:val="clear"/>
            <w:vAlign w:val="center"/>
          </w:tcPr>
          <w:p>
            <w:pPr>
              <w:pStyle w:val="TableContents"/>
              <w:bidi w:val="0"/>
              <w:spacing w:before="0" w:after="283"/>
              <w:jc w:val="left"/>
              <w:rPr/>
            </w:pPr>
            <w:r>
              <w:rPr/>
              <w:t>Decrease (increase) in trade receivables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(389</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bookmarkStart w:id="273" w:name="xdx_40A_eus-gaap--IncreaseDecreaseInOthe"/>
            <w:bookmarkEnd w:id="273"/>
          </w:p>
        </w:tc>
      </w:tr>
      <w:tr>
        <w:trPr/>
        <w:tc>
          <w:tcPr>
            <w:tcW w:w="8019" w:type="dxa"/>
            <w:tcBorders/>
            <w:shd w:fill="CCEEFF" w:val="clear"/>
            <w:vAlign w:val="center"/>
          </w:tcPr>
          <w:p>
            <w:pPr>
              <w:pStyle w:val="TableContents"/>
              <w:bidi w:val="0"/>
              <w:spacing w:before="0" w:after="283"/>
              <w:jc w:val="left"/>
              <w:rPr/>
            </w:pPr>
            <w:r>
              <w:rPr/>
              <w:t>Decrease (increase) in other receivables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207</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(93</w:t>
            </w:r>
          </w:p>
        </w:tc>
        <w:tc>
          <w:tcPr>
            <w:tcW w:w="113" w:type="dxa"/>
            <w:tcBorders/>
            <w:shd w:fill="CCEEFF" w:val="clear"/>
            <w:vAlign w:val="center"/>
          </w:tcPr>
          <w:p>
            <w:pPr>
              <w:pStyle w:val="TableContents"/>
              <w:bidi w:val="0"/>
              <w:spacing w:before="0" w:after="283"/>
              <w:jc w:val="left"/>
              <w:rPr/>
            </w:pPr>
            <w:r>
              <w:rPr/>
              <w:t>)</w:t>
            </w:r>
            <w:bookmarkStart w:id="274" w:name="xdx_400_eus-gaap--IncreaseDecreaseInInve"/>
            <w:bookmarkEnd w:id="274"/>
          </w:p>
        </w:tc>
      </w:tr>
      <w:tr>
        <w:trPr/>
        <w:tc>
          <w:tcPr>
            <w:tcW w:w="8019" w:type="dxa"/>
            <w:tcBorders/>
            <w:shd w:fill="FFFFFF" w:val="clear"/>
            <w:vAlign w:val="center"/>
          </w:tcPr>
          <w:p>
            <w:pPr>
              <w:pStyle w:val="TableContents"/>
              <w:bidi w:val="0"/>
              <w:spacing w:before="0" w:after="283"/>
              <w:jc w:val="left"/>
              <w:rPr/>
            </w:pPr>
            <w:r>
              <w:rPr/>
              <w:t>Increase in inventory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(1,037</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(339</w:t>
            </w:r>
          </w:p>
        </w:tc>
        <w:tc>
          <w:tcPr>
            <w:tcW w:w="113" w:type="dxa"/>
            <w:tcBorders/>
            <w:shd w:fill="FFFFFF" w:val="clear"/>
            <w:vAlign w:val="center"/>
          </w:tcPr>
          <w:p>
            <w:pPr>
              <w:pStyle w:val="TableContents"/>
              <w:bidi w:val="0"/>
              <w:spacing w:before="0" w:after="283"/>
              <w:jc w:val="left"/>
              <w:rPr/>
            </w:pPr>
            <w:r>
              <w:rPr/>
              <w:t>)</w:t>
            </w:r>
            <w:bookmarkStart w:id="275" w:name="xdx_40A_eus-gaap--IncreaseDecreaseInAcco"/>
            <w:bookmarkEnd w:id="275"/>
          </w:p>
        </w:tc>
      </w:tr>
      <w:tr>
        <w:trPr/>
        <w:tc>
          <w:tcPr>
            <w:tcW w:w="8019" w:type="dxa"/>
            <w:tcBorders/>
            <w:shd w:fill="CCEEFF" w:val="clear"/>
            <w:vAlign w:val="center"/>
          </w:tcPr>
          <w:p>
            <w:pPr>
              <w:pStyle w:val="TableContents"/>
              <w:bidi w:val="0"/>
              <w:spacing w:before="0" w:after="283"/>
              <w:jc w:val="left"/>
              <w:rPr/>
            </w:pPr>
            <w:r>
              <w:rPr/>
              <w:t>Increase in trade payables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499</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366</w:t>
            </w:r>
          </w:p>
        </w:tc>
        <w:tc>
          <w:tcPr>
            <w:tcW w:w="113" w:type="dxa"/>
            <w:tcBorders/>
            <w:shd w:fill="CCEEFF" w:val="clear"/>
            <w:vAlign w:val="center"/>
          </w:tcPr>
          <w:p>
            <w:pPr>
              <w:pStyle w:val="TableContents"/>
              <w:bidi w:val="0"/>
              <w:spacing w:before="0" w:after="283"/>
              <w:jc w:val="left"/>
              <w:rPr/>
            </w:pPr>
            <w:r>
              <w:rPr/>
              <w:t> </w:t>
            </w:r>
            <w:bookmarkStart w:id="276" w:name="xdx_401_eus-gaap--IncreaseDecreaseInOthe"/>
            <w:bookmarkEnd w:id="276"/>
          </w:p>
        </w:tc>
      </w:tr>
      <w:tr>
        <w:trPr/>
        <w:tc>
          <w:tcPr>
            <w:tcW w:w="8019" w:type="dxa"/>
            <w:tcBorders/>
            <w:shd w:fill="FFFFFF" w:val="clear"/>
            <w:vAlign w:val="center"/>
          </w:tcPr>
          <w:p>
            <w:pPr>
              <w:pStyle w:val="TableContents"/>
              <w:bidi w:val="0"/>
              <w:spacing w:before="0" w:after="283"/>
              <w:jc w:val="left"/>
              <w:rPr/>
            </w:pPr>
            <w:r>
              <w:rPr/>
              <w:t>Increase in other payables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1,631</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890</w:t>
            </w:r>
          </w:p>
        </w:tc>
        <w:tc>
          <w:tcPr>
            <w:tcW w:w="113" w:type="dxa"/>
            <w:tcBorders/>
            <w:shd w:fill="FFFFFF" w:val="clear"/>
            <w:vAlign w:val="center"/>
          </w:tcPr>
          <w:p>
            <w:pPr>
              <w:pStyle w:val="TableContents"/>
              <w:bidi w:val="0"/>
              <w:spacing w:before="0" w:after="283"/>
              <w:jc w:val="left"/>
              <w:rPr/>
            </w:pPr>
            <w:r>
              <w:rPr/>
              <w:t> </w:t>
            </w:r>
            <w:bookmarkStart w:id="277" w:name="xdx_40D_eus-gaap--NetCashProvidedByUsedI"/>
            <w:bookmarkEnd w:id="277"/>
          </w:p>
        </w:tc>
      </w:tr>
      <w:tr>
        <w:trPr/>
        <w:tc>
          <w:tcPr>
            <w:tcW w:w="8019"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(25,758</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(15,118</w:t>
            </w:r>
          </w:p>
        </w:tc>
        <w:tc>
          <w:tcPr>
            <w:tcW w:w="113" w:type="dxa"/>
            <w:tcBorders/>
            <w:shd w:fill="CCEEFF" w:val="clear"/>
            <w:vAlign w:val="center"/>
          </w:tcPr>
          <w:p>
            <w:pPr>
              <w:pStyle w:val="TableContents"/>
              <w:bidi w:val="0"/>
              <w:spacing w:before="0" w:after="283"/>
              <w:jc w:val="left"/>
              <w:rPr/>
            </w:pPr>
            <w:r>
              <w:rPr/>
              <w:t>)</w:t>
            </w:r>
            <w:bookmarkStart w:id="278" w:name="xdx_40B_eus-gaap--NetCashProvidedByUsedI"/>
            <w:bookmarkEnd w:id="278"/>
          </w:p>
        </w:tc>
      </w:tr>
      <w:tr>
        <w:trPr/>
        <w:tc>
          <w:tcPr>
            <w:tcW w:w="8019"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79" w:name="xdx_40F_eus-gaap--PaymentsToAcquirePrope"/>
            <w:bookmarkEnd w:id="279"/>
          </w:p>
        </w:tc>
      </w:tr>
      <w:tr>
        <w:trPr/>
        <w:tc>
          <w:tcPr>
            <w:tcW w:w="8019"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(1,264</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(1,091</w:t>
            </w:r>
          </w:p>
        </w:tc>
        <w:tc>
          <w:tcPr>
            <w:tcW w:w="113" w:type="dxa"/>
            <w:tcBorders/>
            <w:shd w:fill="CCEEFF" w:val="clear"/>
            <w:vAlign w:val="center"/>
          </w:tcPr>
          <w:p>
            <w:pPr>
              <w:pStyle w:val="TableContents"/>
              <w:bidi w:val="0"/>
              <w:spacing w:before="0" w:after="283"/>
              <w:jc w:val="left"/>
              <w:rPr/>
            </w:pPr>
            <w:r>
              <w:rPr/>
              <w:t>)</w:t>
            </w:r>
            <w:bookmarkStart w:id="280" w:name="xdx_402_eus-gaap--ProceedsFromSaleOfProp"/>
            <w:bookmarkEnd w:id="280"/>
          </w:p>
        </w:tc>
      </w:tr>
      <w:tr>
        <w:trPr/>
        <w:tc>
          <w:tcPr>
            <w:tcW w:w="8019" w:type="dxa"/>
            <w:tcBorders/>
            <w:shd w:fill="FFFFFF" w:val="clear"/>
            <w:vAlign w:val="center"/>
          </w:tcPr>
          <w:p>
            <w:pPr>
              <w:pStyle w:val="TableContents"/>
              <w:bidi w:val="0"/>
              <w:spacing w:before="0" w:after="283"/>
              <w:jc w:val="left"/>
              <w:rPr/>
            </w:pPr>
            <w:r>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15</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81" w:name="xdx_400_eus-gaap--PaymentsToAcquireMarke"/>
            <w:bookmarkEnd w:id="281"/>
          </w:p>
        </w:tc>
      </w:tr>
      <w:tr>
        <w:trPr/>
        <w:tc>
          <w:tcPr>
            <w:tcW w:w="8019" w:type="dxa"/>
            <w:tcBorders/>
            <w:shd w:fill="CCEEFF" w:val="clear"/>
            <w:vAlign w:val="center"/>
          </w:tcPr>
          <w:p>
            <w:pPr>
              <w:pStyle w:val="TableContents"/>
              <w:bidi w:val="0"/>
              <w:spacing w:before="0" w:after="283"/>
              <w:jc w:val="left"/>
              <w:rPr/>
            </w:pPr>
            <w:r>
              <w:rPr/>
              <w:t>Investments in marketable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(11,749</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(14,444</w:t>
            </w:r>
          </w:p>
        </w:tc>
        <w:tc>
          <w:tcPr>
            <w:tcW w:w="113" w:type="dxa"/>
            <w:tcBorders/>
            <w:shd w:fill="CCEEFF" w:val="clear"/>
            <w:vAlign w:val="center"/>
          </w:tcPr>
          <w:p>
            <w:pPr>
              <w:pStyle w:val="TableContents"/>
              <w:bidi w:val="0"/>
              <w:spacing w:before="0" w:after="283"/>
              <w:jc w:val="left"/>
              <w:rPr/>
            </w:pPr>
            <w:r>
              <w:rPr/>
              <w:t>)</w:t>
            </w:r>
            <w:bookmarkStart w:id="282" w:name="xdx_405_ecustom--ProceedsFromMaturedMark"/>
            <w:bookmarkEnd w:id="282"/>
          </w:p>
        </w:tc>
      </w:tr>
      <w:tr>
        <w:trPr/>
        <w:tc>
          <w:tcPr>
            <w:tcW w:w="8019" w:type="dxa"/>
            <w:tcBorders/>
            <w:shd w:fill="FFFFFF" w:val="clear"/>
            <w:vAlign w:val="center"/>
          </w:tcPr>
          <w:p>
            <w:pPr>
              <w:pStyle w:val="TableContents"/>
              <w:bidi w:val="0"/>
              <w:spacing w:before="0" w:after="283"/>
              <w:jc w:val="left"/>
              <w:rPr/>
            </w:pPr>
            <w:r>
              <w:rPr/>
              <w:t>Proceeds from matured marketable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27,648</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20,000</w:t>
            </w:r>
          </w:p>
        </w:tc>
        <w:tc>
          <w:tcPr>
            <w:tcW w:w="113" w:type="dxa"/>
            <w:tcBorders/>
            <w:shd w:fill="FFFFFF" w:val="clear"/>
            <w:vAlign w:val="center"/>
          </w:tcPr>
          <w:p>
            <w:pPr>
              <w:pStyle w:val="TableContents"/>
              <w:bidi w:val="0"/>
              <w:spacing w:before="0" w:after="283"/>
              <w:jc w:val="left"/>
              <w:rPr/>
            </w:pPr>
            <w:r>
              <w:rPr/>
              <w:t> </w:t>
            </w:r>
            <w:bookmarkStart w:id="283" w:name="xdx_405_ecustom--AmountsWithdrawnInRespe"/>
            <w:bookmarkEnd w:id="283"/>
          </w:p>
        </w:tc>
      </w:tr>
      <w:tr>
        <w:trPr/>
        <w:tc>
          <w:tcPr>
            <w:tcW w:w="8019" w:type="dxa"/>
            <w:tcBorders/>
            <w:shd w:fill="CCEEFF" w:val="clear"/>
            <w:vAlign w:val="center"/>
          </w:tcPr>
          <w:p>
            <w:pPr>
              <w:pStyle w:val="TableContents"/>
              <w:bidi w:val="0"/>
              <w:spacing w:before="0" w:after="283"/>
              <w:jc w:val="left"/>
              <w:rPr/>
            </w:pPr>
            <w:r>
              <w:rPr/>
              <w:t>Amounts funded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(75</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13" w:type="dxa"/>
            <w:tcBorders/>
            <w:shd w:fill="CCEEFF" w:val="clear"/>
            <w:vAlign w:val="center"/>
          </w:tcPr>
          <w:p>
            <w:pPr>
              <w:pStyle w:val="TableContents"/>
              <w:bidi w:val="0"/>
              <w:spacing w:before="0" w:after="283"/>
              <w:jc w:val="left"/>
              <w:rPr/>
            </w:pPr>
            <w:r>
              <w:rPr/>
              <w:t>)</w:t>
            </w:r>
            <w:bookmarkStart w:id="284" w:name="xdx_408_eus-gaap--NetCashProvidedByUsedI"/>
            <w:bookmarkEnd w:id="284"/>
          </w:p>
        </w:tc>
      </w:tr>
      <w:tr>
        <w:trPr/>
        <w:tc>
          <w:tcPr>
            <w:tcW w:w="8019"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14,575</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4,399</w:t>
            </w:r>
          </w:p>
        </w:tc>
        <w:tc>
          <w:tcPr>
            <w:tcW w:w="113" w:type="dxa"/>
            <w:tcBorders/>
            <w:shd w:fill="FFFFFF" w:val="clear"/>
            <w:vAlign w:val="center"/>
          </w:tcPr>
          <w:p>
            <w:pPr>
              <w:pStyle w:val="TableContents"/>
              <w:bidi w:val="0"/>
              <w:spacing w:before="0" w:after="283"/>
              <w:jc w:val="left"/>
              <w:rPr/>
            </w:pPr>
            <w:r>
              <w:rPr/>
              <w:t> </w:t>
            </w:r>
            <w:bookmarkStart w:id="285" w:name="xdx_406_eus-gaap--NetCashProvidedByUsedI"/>
            <w:bookmarkEnd w:id="285"/>
          </w:p>
        </w:tc>
      </w:tr>
      <w:tr>
        <w:trPr/>
        <w:tc>
          <w:tcPr>
            <w:tcW w:w="8019"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86" w:name="xdx_404_eus-gaap--ProceedsFromWarrantExe"/>
            <w:bookmarkEnd w:id="286"/>
          </w:p>
        </w:tc>
      </w:tr>
      <w:tr>
        <w:trPr/>
        <w:tc>
          <w:tcPr>
            <w:tcW w:w="8019" w:type="dxa"/>
            <w:tcBorders/>
            <w:shd w:fill="FFFFFF" w:val="clear"/>
            <w:vAlign w:val="center"/>
          </w:tcPr>
          <w:p>
            <w:pPr>
              <w:pStyle w:val="TableContents"/>
              <w:bidi w:val="0"/>
              <w:spacing w:before="0" w:after="283"/>
              <w:jc w:val="left"/>
              <w:rPr/>
            </w:pPr>
            <w:r>
              <w:rPr/>
              <w:t>    </w:t>
            </w:r>
            <w:r>
              <w:rPr/>
              <w:t>Proceeds from exercise of warrants, net of $</w:t>
            </w:r>
            <w:bookmarkStart w:id="287" w:name="xdx_900_eus-gaap--ProceedsFromIssuanceOf"/>
            <w:bookmarkStart w:id="288" w:name="xdx_902_eus-gaap--ProceedsFromIssuanceOf"/>
            <w:bookmarkEnd w:id="287"/>
            <w:bookmarkEnd w:id="288"/>
            <w:r>
              <w:rPr/>
              <w:t>1,000 issuance costs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16,855</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16,854</w:t>
            </w:r>
          </w:p>
        </w:tc>
        <w:tc>
          <w:tcPr>
            <w:tcW w:w="113" w:type="dxa"/>
            <w:tcBorders/>
            <w:shd w:fill="FFFFFF" w:val="clear"/>
            <w:vAlign w:val="center"/>
          </w:tcPr>
          <w:p>
            <w:pPr>
              <w:pStyle w:val="TableContents"/>
              <w:bidi w:val="0"/>
              <w:spacing w:before="0" w:after="283"/>
              <w:jc w:val="left"/>
              <w:rPr/>
            </w:pPr>
            <w:r>
              <w:rPr/>
              <w:t> </w:t>
            </w:r>
            <w:bookmarkStart w:id="289" w:name="xdx_409_eus-gaap--ProceedsFromIssuanceOf"/>
            <w:bookmarkEnd w:id="289"/>
          </w:p>
        </w:tc>
      </w:tr>
      <w:tr>
        <w:trPr/>
        <w:tc>
          <w:tcPr>
            <w:tcW w:w="8019" w:type="dxa"/>
            <w:tcBorders/>
            <w:shd w:fill="CCEEFF" w:val="clear"/>
            <w:vAlign w:val="center"/>
          </w:tcPr>
          <w:p>
            <w:pPr>
              <w:pStyle w:val="TableContents"/>
              <w:bidi w:val="0"/>
              <w:spacing w:before="0" w:after="283"/>
              <w:jc w:val="left"/>
              <w:rPr/>
            </w:pPr>
            <w:r>
              <w:rPr/>
              <w:t>Proceeds from issuance of shares and pre-funded warrants, net of $</w:t>
            </w:r>
            <w:bookmarkStart w:id="290" w:name="xdx_90F_eus-gaap--PaymentsOfStockIssuanc"/>
            <w:bookmarkEnd w:id="290"/>
            <w:r>
              <w:rPr/>
              <w:t>3,148 and $</w:t>
            </w:r>
            <w:bookmarkStart w:id="291" w:name="xdx_908_eus-gaap--PaymentsOfStockIssuanc"/>
            <w:bookmarkEnd w:id="291"/>
            <w:r>
              <w:rPr/>
              <w:t>1 issuance costs, respectively</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38,714</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113" w:type="dxa"/>
            <w:tcBorders/>
            <w:shd w:fill="CCEEFF" w:val="clear"/>
            <w:vAlign w:val="center"/>
          </w:tcPr>
          <w:p>
            <w:pPr>
              <w:pStyle w:val="TableContents"/>
              <w:bidi w:val="0"/>
              <w:spacing w:before="0" w:after="283"/>
              <w:jc w:val="left"/>
              <w:rPr/>
            </w:pPr>
            <w:r>
              <w:rPr/>
              <w:t> </w:t>
            </w:r>
            <w:bookmarkStart w:id="292" w:name="xdx_409_eus-gaap--NetCashProvidedByUsedI"/>
            <w:bookmarkEnd w:id="292"/>
          </w:p>
        </w:tc>
      </w:tr>
      <w:tr>
        <w:trPr/>
        <w:tc>
          <w:tcPr>
            <w:tcW w:w="8019"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55,569</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16,889</w:t>
            </w:r>
          </w:p>
        </w:tc>
        <w:tc>
          <w:tcPr>
            <w:tcW w:w="113" w:type="dxa"/>
            <w:tcBorders/>
            <w:shd w:fill="FFFFFF" w:val="clear"/>
            <w:vAlign w:val="center"/>
          </w:tcPr>
          <w:p>
            <w:pPr>
              <w:pStyle w:val="TableContents"/>
              <w:bidi w:val="0"/>
              <w:spacing w:before="0" w:after="283"/>
              <w:ind w:left="0" w:right="0" w:hanging="227"/>
              <w:jc w:val="left"/>
              <w:rPr/>
            </w:pPr>
            <w:r>
              <w:rPr/>
              <w:t> </w:t>
            </w:r>
            <w:bookmarkStart w:id="293" w:name="xdx_40A_eus-gaap--EffectOfExchangeRateOn"/>
            <w:bookmarkEnd w:id="293"/>
          </w:p>
        </w:tc>
      </w:tr>
      <w:tr>
        <w:trPr/>
        <w:tc>
          <w:tcPr>
            <w:tcW w:w="8019" w:type="dxa"/>
            <w:tcBorders/>
            <w:shd w:fill="CCEE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3" w:type="dxa"/>
            <w:tcBorders/>
            <w:shd w:fill="CCEEFF" w:val="clear"/>
            <w:vAlign w:val="center"/>
          </w:tcPr>
          <w:p>
            <w:pPr>
              <w:pStyle w:val="TableContents"/>
              <w:bidi w:val="0"/>
              <w:spacing w:before="0" w:after="283"/>
              <w:ind w:left="0" w:right="0" w:hanging="227"/>
              <w:jc w:val="left"/>
              <w:rPr/>
            </w:pPr>
            <w:r>
              <w:rPr/>
              <w:t> </w:t>
            </w:r>
            <w:bookmarkStart w:id="294" w:name="xdx_409_eus-gaap--CashCashEquivalentsRes"/>
            <w:bookmarkEnd w:id="294"/>
          </w:p>
        </w:tc>
      </w:tr>
      <w:tr>
        <w:trPr/>
        <w:tc>
          <w:tcPr>
            <w:tcW w:w="8019" w:type="dxa"/>
            <w:tcBorders/>
            <w:shd w:fill="FFFFFF" w:val="clear"/>
            <w:vAlign w:val="center"/>
          </w:tcPr>
          <w:p>
            <w:pPr>
              <w:pStyle w:val="TableContents"/>
              <w:bidi w:val="0"/>
              <w:spacing w:before="0" w:after="283"/>
              <w:jc w:val="left"/>
              <w:rPr>
                <w:b/>
              </w:rPr>
            </w:pPr>
            <w:r>
              <w:rPr>
                <w:b/>
              </w:rPr>
              <w:t>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44,487</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6,178</w:t>
            </w:r>
          </w:p>
        </w:tc>
        <w:tc>
          <w:tcPr>
            <w:tcW w:w="113" w:type="dxa"/>
            <w:tcBorders/>
            <w:shd w:fill="FFFFFF" w:val="clear"/>
            <w:vAlign w:val="center"/>
          </w:tcPr>
          <w:p>
            <w:pPr>
              <w:pStyle w:val="TableContents"/>
              <w:bidi w:val="0"/>
              <w:spacing w:before="0" w:after="283"/>
              <w:ind w:left="0" w:right="0" w:hanging="227"/>
              <w:jc w:val="left"/>
              <w:rPr/>
            </w:pPr>
            <w:r>
              <w:rPr/>
              <w:t> </w:t>
            </w:r>
            <w:bookmarkStart w:id="295" w:name="xdx_407_eus-gaap--CashCashEquivalentsRes"/>
            <w:bookmarkEnd w:id="295"/>
          </w:p>
        </w:tc>
      </w:tr>
      <w:tr>
        <w:trPr/>
        <w:tc>
          <w:tcPr>
            <w:tcW w:w="8019" w:type="dxa"/>
            <w:tcBorders/>
            <w:shd w:fill="CCEEFF" w:val="clear"/>
            <w:vAlign w:val="center"/>
          </w:tcPr>
          <w:p>
            <w:pPr>
              <w:pStyle w:val="TableContents"/>
              <w:bidi w:val="0"/>
              <w:spacing w:before="0" w:after="283"/>
              <w:jc w:val="left"/>
              <w:rPr>
                <w:b/>
              </w:rPr>
            </w:pPr>
            <w:r>
              <w:rPr>
                <w:b/>
              </w:rPr>
              <w:t>BALANCE OF 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18,916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pPr>
            <w:r>
              <w:rPr/>
              <w:t>9,640</w:t>
            </w:r>
          </w:p>
        </w:tc>
        <w:tc>
          <w:tcPr>
            <w:tcW w:w="113" w:type="dxa"/>
            <w:tcBorders/>
            <w:shd w:fill="CCEEFF" w:val="clear"/>
            <w:vAlign w:val="center"/>
          </w:tcPr>
          <w:p>
            <w:pPr>
              <w:pStyle w:val="TableContents"/>
              <w:bidi w:val="0"/>
              <w:spacing w:before="0" w:after="283"/>
              <w:ind w:left="0" w:right="0" w:hanging="227"/>
              <w:jc w:val="left"/>
              <w:rPr/>
            </w:pPr>
            <w:r>
              <w:rPr/>
              <w:t> </w:t>
            </w:r>
            <w:bookmarkStart w:id="296" w:name="xdx_409_eus-gaap--CashCashEquivalentsRes"/>
            <w:bookmarkEnd w:id="296"/>
          </w:p>
        </w:tc>
      </w:tr>
      <w:tr>
        <w:trPr/>
        <w:tc>
          <w:tcPr>
            <w:tcW w:w="8019" w:type="dxa"/>
            <w:tcBorders/>
            <w:shd w:fill="FFFFFF" w:val="clear"/>
            <w:vAlign w:val="center"/>
          </w:tcPr>
          <w:p>
            <w:pPr>
              <w:pStyle w:val="TableContents"/>
              <w:bidi w:val="0"/>
              <w:spacing w:before="0" w:after="283"/>
              <w:jc w:val="left"/>
              <w:rPr>
                <w:b/>
              </w:rPr>
            </w:pPr>
            <w:r>
              <w:rPr>
                <w:b/>
              </w:rPr>
              <w:t>BALANCE OF 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pPr>
            <w:r>
              <w:rPr/>
              <w:t>63,403</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pPr>
            <w:r>
              <w:rPr/>
              <w:t>15,818</w:t>
            </w:r>
          </w:p>
        </w:tc>
        <w:tc>
          <w:tcPr>
            <w:tcW w:w="113" w:type="dxa"/>
            <w:tcBorders/>
            <w:shd w:fill="FFFFFF" w:val="clear"/>
            <w:vAlign w:val="center"/>
          </w:tcPr>
          <w:p>
            <w:pPr>
              <w:pStyle w:val="TableContents"/>
              <w:bidi w:val="0"/>
              <w:spacing w:before="0" w:after="283"/>
              <w:ind w:left="0" w:right="0" w:hanging="227"/>
              <w:jc w:val="left"/>
              <w:rPr/>
            </w:pPr>
            <w:r>
              <w:rPr/>
              <w:t> </w:t>
            </w:r>
            <w:bookmarkStart w:id="297" w:name="xdx_40F_eus-gaap--NoncashInvestingAndFin"/>
            <w:bookmarkEnd w:id="297"/>
          </w:p>
        </w:tc>
      </w:tr>
      <w:tr>
        <w:trPr/>
        <w:tc>
          <w:tcPr>
            <w:tcW w:w="8019" w:type="dxa"/>
            <w:tcBorders/>
            <w:shd w:fill="CCEEFF" w:val="clear"/>
            <w:vAlign w:val="center"/>
          </w:tcPr>
          <w:p>
            <w:pPr>
              <w:pStyle w:val="TableContents"/>
              <w:bidi w:val="0"/>
              <w:spacing w:before="0" w:after="283"/>
              <w:jc w:val="left"/>
              <w:rPr>
                <w:b/>
              </w:rPr>
            </w:pPr>
            <w:r>
              <w:rPr>
                <w:b/>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27"/>
              <w:jc w:val="left"/>
              <w:rPr/>
            </w:pPr>
            <w:r>
              <w:rPr/>
              <w:t> </w:t>
            </w:r>
            <w:bookmarkStart w:id="298" w:name="xdx_406_ecustom--NoncashAcquisitionOfRig"/>
            <w:bookmarkEnd w:id="298"/>
          </w:p>
        </w:tc>
      </w:tr>
      <w:tr>
        <w:trPr/>
        <w:tc>
          <w:tcPr>
            <w:tcW w:w="8019" w:type="dxa"/>
            <w:tcBorders/>
            <w:shd w:fill="FFFFFF" w:val="clear"/>
            <w:vAlign w:val="center"/>
          </w:tcPr>
          <w:p>
            <w:pPr>
              <w:pStyle w:val="TableContents"/>
              <w:bidi w:val="0"/>
              <w:spacing w:before="0" w:after="283"/>
              <w:jc w:val="left"/>
              <w:rPr/>
            </w:pPr>
            <w:r>
              <w:rPr/>
              <w:t>Acquisition of right-of-use assets by means of lease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994</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27"/>
              <w:jc w:val="left"/>
              <w:rPr/>
            </w:pPr>
            <w:r>
              <w:rPr/>
              <w:t> </w:t>
            </w:r>
            <w:bookmarkStart w:id="299" w:name="xdx_401_ecustom--NoncashPurchaseOfProper"/>
            <w:bookmarkEnd w:id="299"/>
          </w:p>
        </w:tc>
      </w:tr>
      <w:tr>
        <w:trPr/>
        <w:tc>
          <w:tcPr>
            <w:tcW w:w="8019" w:type="dxa"/>
            <w:tcBorders/>
            <w:shd w:fill="CCEEFF" w:val="clear"/>
            <w:vAlign w:val="center"/>
          </w:tcPr>
          <w:p>
            <w:pPr>
              <w:pStyle w:val="TableContents"/>
              <w:bidi w:val="0"/>
              <w:spacing w:before="0" w:after="283"/>
              <w:jc w:val="left"/>
              <w:rPr/>
            </w:pPr>
            <w:r>
              <w:rPr/>
              <w:t>Non- cash purchase of property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101</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0" w:name="Rma_005"/>
      <w:bookmarkEnd w:id="300"/>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1" w:name="xdx_807_eus-gaap--NatureOfOperations_zko"/>
      <w:bookmarkEnd w:id="301"/>
      <w:r>
        <w:rPr>
          <w:rFonts w:ascii="Times New Roman;Times;Serif" w:hAnsi="Times New Roman;Times;Serif"/>
          <w:b/>
          <w:i w:val="false"/>
          <w:caps w:val="false"/>
          <w:smallCaps w:val="false"/>
          <w:sz w:val="20"/>
        </w:rPr>
        <w:t xml:space="preserve">NOTE 1 - </w:t>
      </w:r>
      <w:bookmarkStart w:id="302" w:name="xdx_826_zBgGgrTir7Ob"/>
      <w:bookmarkEnd w:id="302"/>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carotid product (CGuard™ EPS) combines MicroNet and a self-expandable nitinol stent in a single device to treat carotid artery disease.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received CE Mark approval under the European Medical Device Regulation for the CGuard Prime carotid stent system. On June 23, 2025, the U.S. Food and Drug Administration (“FDA”) granted premarket application (PMA) approval of the CGuard Prime Carotid Stent System in the United States, and in July 2025, the Company announced the official commercial launch of the CGuard Prime carotid stent system in the United States. In the United States, following FDA approval of the PMA of the CGuard Prime Carotid Stent System, the Company markets and sells its product through a direct sales organization. In addition, the Company also markets and sells its product through distributors in international markets, mainly in Europe.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accumulated deficit as of September 30, 2025, as well as a history of net losses and negative operating cash flows. The Company expects to continue incurring losses and negative cash flows from operations until its product, CGuard™ EPS, reaches commercial profitability.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financial statements have been prepared assuming that the Company will continue as a going concern and do not include any adjustments that might result from the outcome of this uncertainty.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include the continued commercialization of the Company’s product and raising capital through the sale of additional equity securities, debt or capital inflows from strategic partnerships and exercise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the Company’s Operations in Israel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the Hamas terrorist organization and entered a state of war on several fronts. In June 2025, following escalating threats and intelligence reports of imminent attacks, Israel conducted preemptive strikes on military and nuclear infrastructure in Iran. Iran responded with drones and missiles attacks, some of which caused civilian casualties and infrastructure damage. After 12 days of hostilities, a ceasefire between Israel and Iran was reached in June 2025. As of October 9, 2025, Israel and Hamas entered into a ceasefire agreement calling for a permanent end of the war. However, there are no assurances that such agreements will hold. As a result, while the ceasefire marks a potential shift towards stability in the region, the situation remains volatile, and the risk of broader regional escalation involving additional actors persists. As of the date of these consolidated financial statements, conflict continues in parts of the region. The Company’s operations, including its current production facility, are located in Israel. At this time, these activities remain largely unaffected.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and three months ended September 30, 2025 and 2024, the impact of this war on the Company’s results of operations and financial condition was immaterial, but such impact may increase, which could be material, as a result of the continuation, escalation or expansion of such war.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3" w:name="xdx_80E_eus-gaap--BasisOfAccounting_zivT"/>
      <w:bookmarkEnd w:id="303"/>
      <w:r>
        <w:rPr>
          <w:rFonts w:ascii="Times New Roman;Times;Serif" w:hAnsi="Times New Roman;Times;Serif"/>
          <w:b/>
          <w:i w:val="false"/>
          <w:caps w:val="false"/>
          <w:smallCaps w:val="false"/>
          <w:sz w:val="20"/>
        </w:rPr>
        <w:t xml:space="preserve">NOTE 2 - </w:t>
      </w:r>
      <w:bookmarkStart w:id="304" w:name="xdx_82A_zKEHX28ElEWe"/>
      <w:bookmarkEnd w:id="304"/>
      <w:r>
        <w:rPr>
          <w:rFonts w:ascii="Times New Roman;Times;Serif" w:hAnsi="Times New Roman;Times;Serif"/>
          <w:b/>
          <w:i w:val="false"/>
          <w:caps w:val="false"/>
          <w:smallCaps w:val="false"/>
          <w:sz w:val="20"/>
        </w:rPr>
        <w:t>BASIS OF PRESENTATION</w:t>
      </w:r>
    </w:p>
    <w:p>
      <w:pPr>
        <w:pStyle w:val="TextBody"/>
        <w:bidi w:val="0"/>
        <w:spacing w:before="0" w:after="0"/>
        <w:ind w:left="144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on the same basis as the annual consolidated financial statements. In the opinion of the company, all adjustments considered necessary for a fair statement of the results of the interim periods reported herein have been included (consisting only of normal recurring adjustments). These condensed consolidated financial statements and notes thereto are unaudited and should be read in conjunction with the Company’s audited financial statements for the year ended December 31, 2024, as found in the Company’s Annual Report on Form 10-K, filed with the Securities and Exchange Commission on March 12, 2025. The results of operations for the nine and three months ended September 30, 2025 are not necessarily indicative of results that could be expected for the entire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5" w:name="xdx_809_eus-gaap--NewAccountingPronounce"/>
      <w:bookmarkEnd w:id="305"/>
      <w:r>
        <w:rPr>
          <w:rFonts w:ascii="Times New Roman;Times;Serif" w:hAnsi="Times New Roman;Times;Serif"/>
          <w:b/>
          <w:i w:val="false"/>
          <w:caps w:val="false"/>
          <w:smallCaps w:val="false"/>
          <w:sz w:val="20"/>
        </w:rPr>
        <w:t xml:space="preserve">NOTE 3 - </w:t>
      </w:r>
      <w:bookmarkStart w:id="306" w:name="xdx_820_zexEuTGAzmP4"/>
      <w:bookmarkEnd w:id="306"/>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 not yet adopted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and disclosures.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financial statements and disclosures.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2025-05, Financial Instruments-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currently evaluating the potential impact of this guidance on its consolidated financial statements and disclosures.</w:t>
            </w:r>
          </w:p>
        </w:tc>
      </w:tr>
    </w:tbl>
    <w:p>
      <w:pPr>
        <w:pStyle w:val="TextBody"/>
        <w:bidi w:val="0"/>
        <w:spacing w:before="0" w:after="0"/>
        <w:ind w:left="2880" w:right="0" w:firstLine="72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07" w:name="xdx_804_eus-gaap--FairValueDisclosuresTe"/>
      <w:bookmarkEnd w:id="307"/>
      <w:r>
        <w:rPr>
          <w:rFonts w:ascii="Times New Roman;Times;Serif" w:hAnsi="Times New Roman;Times;Serif"/>
          <w:b/>
          <w:i w:val="false"/>
          <w:caps w:val="false"/>
          <w:smallCaps w:val="false"/>
          <w:sz w:val="20"/>
        </w:rPr>
        <w:t xml:space="preserve">NOTE 4 – </w:t>
      </w:r>
      <w:bookmarkStart w:id="308" w:name="xdx_821_z7IKfq1fPuZi"/>
      <w:bookmarkEnd w:id="308"/>
      <w:r>
        <w:rPr>
          <w:rFonts w:ascii="Times New Roman;Times;Serif" w:hAnsi="Times New Roman;Times;Serif"/>
          <w:b/>
          <w:i w:val="false"/>
          <w:caps w:val="false"/>
          <w:smallCaps w:val="false"/>
          <w:sz w:val="20"/>
        </w:rPr>
        <w:t>FAIR VALUE MEASUREMENTS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are used when little or no market data is available. The fair value hierarchy gives the lowest priority to Level 3 inputs.</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rFonts w:ascii="Times New Roman;Times;Serif" w:hAnsi="Times New Roman;Times;Serif"/>
          <w:b w:val="false"/>
          <w:i w:val="false"/>
          <w:caps w:val="false"/>
          <w:smallCaps w:val="false"/>
          <w:sz w:val="20"/>
        </w:rPr>
      </w:pPr>
      <w:bookmarkStart w:id="309" w:name="xdx_89E_eus-gaap--FairValueAssetsMeasure"/>
      <w:bookmarkEnd w:id="309"/>
      <w:r>
        <w:rPr>
          <w:rFonts w:ascii="Times New Roman;Times;Serif" w:hAnsi="Times New Roman;Times;Serif"/>
          <w:b w:val="false"/>
          <w:i w:val="false"/>
          <w:caps w:val="false"/>
          <w:smallCaps w:val="false"/>
          <w:sz w:val="20"/>
        </w:rPr>
        <w:t>The Company’s financial assets are subject to fair value measurements on a recurring basis and the level of input used in such measurements were as follows:</w:t>
      </w:r>
    </w:p>
    <w:p>
      <w:pPr>
        <w:pStyle w:val="TextBody"/>
        <w:shd w:fill="FFFFFF" w:val="clear"/>
        <w:bidi w:val="0"/>
        <w:spacing w:before="0" w:after="0"/>
        <w:ind w:left="719" w:right="0" w:hanging="0"/>
        <w:jc w:val="left"/>
        <w:rPr>
          <w:caps w:val="false"/>
          <w:smallCaps w:val="false"/>
        </w:rPr>
      </w:pPr>
      <w:r>
        <w:rPr>
          <w:caps w:val="false"/>
          <w:smallCaps w:val="false"/>
        </w:rPr>
        <w:t> </w:t>
      </w:r>
      <w:bookmarkStart w:id="310" w:name="xdx_8B1_zRhaRvG7Djl6"/>
      <w:bookmarkEnd w:id="310"/>
      <w:r>
        <w:rPr>
          <w:rFonts w:ascii="Times New Roman;Times;Serif" w:hAnsi="Times New Roman;Times;Serif"/>
          <w:b w:val="false"/>
          <w:i w:val="false"/>
          <w:caps w:val="false"/>
          <w:smallCaps w:val="false"/>
          <w:sz w:val="20"/>
        </w:rPr>
        <w:t>SCHEDULE OF FINANCIAL ASSETS SUBJECT TO FAIR VALUE MEASUREMENTS</w:t>
      </w:r>
    </w:p>
    <w:tbl>
      <w:tblPr>
        <w:tblW w:w="5643" w:type="dxa"/>
        <w:jc w:val="left"/>
        <w:tblInd w:w="0" w:type="dxa"/>
        <w:tblLayout w:type="fixed"/>
        <w:tblCellMar>
          <w:top w:w="0" w:type="dxa"/>
          <w:left w:w="0" w:type="dxa"/>
          <w:bottom w:w="0" w:type="dxa"/>
          <w:right w:w="0" w:type="dxa"/>
        </w:tblCellMar>
      </w:tblPr>
      <w:tblGrid>
        <w:gridCol w:w="2000"/>
        <w:gridCol w:w="60"/>
        <w:gridCol w:w="140"/>
        <w:gridCol w:w="680"/>
        <w:gridCol w:w="60"/>
        <w:gridCol w:w="60"/>
        <w:gridCol w:w="140"/>
        <w:gridCol w:w="680"/>
        <w:gridCol w:w="60"/>
        <w:gridCol w:w="60"/>
        <w:gridCol w:w="449"/>
        <w:gridCol w:w="305"/>
        <w:gridCol w:w="60"/>
        <w:gridCol w:w="60"/>
        <w:gridCol w:w="449"/>
        <w:gridCol w:w="305"/>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1" w:name="xdx_495_20250930__us-gaap--FairValueByMe"/>
            <w:bookmarkEnd w:id="311"/>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 w:name="xdx_492_20250930__us-gaap--FairValueByMe"/>
            <w:bookmarkEnd w:id="31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3" w:name="xdx_492_20250930__us-gaap--FairValueByMe"/>
            <w:bookmarkEnd w:id="313"/>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 w:name="xdx_497_20250930__us-gaap--FairValueByMe"/>
            <w:bookmarkEnd w:id="314"/>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September 30, 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15" w:name="xdx_406_eus-gaap--CashAndCashEquivalents"/>
            <w:bookmarkEnd w:id="315"/>
          </w:p>
        </w:tc>
      </w:tr>
      <w:tr>
        <w:trPr/>
        <w:tc>
          <w:tcPr>
            <w:tcW w:w="200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53,889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53,889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r>
        <w:rPr>
          <w:caps w:val="false"/>
          <w:smallCaps w:val="false"/>
        </w:rPr>
        <w:t> </w:t>
      </w:r>
    </w:p>
    <w:tbl>
      <w:tblPr>
        <w:tblW w:w="5929" w:type="dxa"/>
        <w:jc w:val="left"/>
        <w:tblInd w:w="0" w:type="dxa"/>
        <w:tblLayout w:type="fixed"/>
        <w:tblCellMar>
          <w:top w:w="0" w:type="dxa"/>
          <w:left w:w="0" w:type="dxa"/>
          <w:bottom w:w="0" w:type="dxa"/>
          <w:right w:w="0" w:type="dxa"/>
        </w:tblCellMar>
      </w:tblPr>
      <w:tblGrid>
        <w:gridCol w:w="2285"/>
        <w:gridCol w:w="60"/>
        <w:gridCol w:w="140"/>
        <w:gridCol w:w="680"/>
        <w:gridCol w:w="60"/>
        <w:gridCol w:w="60"/>
        <w:gridCol w:w="151"/>
        <w:gridCol w:w="604"/>
        <w:gridCol w:w="60"/>
        <w:gridCol w:w="60"/>
        <w:gridCol w:w="140"/>
        <w:gridCol w:w="680"/>
        <w:gridCol w:w="60"/>
        <w:gridCol w:w="60"/>
        <w:gridCol w:w="449"/>
        <w:gridCol w:w="305"/>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 w:name="xdx_494_20241231__us-gaap--FairValueByMe"/>
            <w:bookmarkEnd w:id="316"/>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 w:name="xdx_498_20241231__us-gaap--FairValueByMe"/>
            <w:bookmarkEnd w:id="317"/>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1_20241231__us-gaap--FairValueByMe"/>
            <w:bookmarkEnd w:id="318"/>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C_20241231__us-gaap--FairValueByMe"/>
            <w:bookmarkEnd w:id="319"/>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20" w:name="xdx_406_eus-gaap--CashAndCashEquivalents"/>
            <w:bookmarkEnd w:id="320"/>
          </w:p>
        </w:tc>
      </w:tr>
      <w:tr>
        <w:trPr/>
        <w:tc>
          <w:tcPr>
            <w:tcW w:w="228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6,281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21" w:name="xdx_406_eus-gaap--SecuritiesBorrowedFair"/>
            <w:bookmarkEnd w:id="321"/>
          </w:p>
        </w:tc>
      </w:tr>
      <w:tr>
        <w:trPr/>
        <w:tc>
          <w:tcPr>
            <w:tcW w:w="2285" w:type="dxa"/>
            <w:tcBorders/>
            <w:shd w:fill="CCEEFF" w:val="clear"/>
            <w:vAlign w:val="center"/>
          </w:tcPr>
          <w:p>
            <w:pPr>
              <w:pStyle w:val="TableContents"/>
              <w:bidi w:val="0"/>
              <w:spacing w:before="0" w:after="283"/>
              <w:jc w:val="left"/>
              <w:rPr/>
            </w:pPr>
            <w:r>
              <w:rPr/>
              <w:t>U.S. government bonds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bookmarkStart w:id="322" w:name="xdx_8AC_zNkgnSYVBwL7"/>
      <w:bookmarkEnd w:id="322"/>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and marketable securities are classified within Level 1 and Level 2 because it uses quoted market prices or alternative pricing sources and models utilizing market observable inputs to determine their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December 31, 2024, is $</w:t>
      </w:r>
      <w:bookmarkStart w:id="323" w:name="xdx_90F_eus-gaap--SecuritiesBorrowedFair"/>
      <w:bookmarkEnd w:id="323"/>
      <w:r>
        <w:rPr>
          <w:rFonts w:ascii="Times New Roman;Times;Serif" w:hAnsi="Times New Roman;Times;Serif"/>
          <w:b w:val="false"/>
          <w:i w:val="false"/>
          <w:caps w:val="false"/>
          <w:smallCaps w:val="false"/>
          <w:sz w:val="20"/>
        </w:rPr>
        <w:t>15,277 thousand. As of September 30, 2025, all marketable securities have matured.</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4" w:name="xdx_809_eus-gaap--InvestmentsInDebtAndMa"/>
      <w:bookmarkEnd w:id="324"/>
      <w:r>
        <w:rPr>
          <w:rFonts w:ascii="Times New Roman;Times;Serif" w:hAnsi="Times New Roman;Times;Serif"/>
          <w:b/>
          <w:i w:val="false"/>
          <w:caps w:val="false"/>
          <w:smallCaps w:val="false"/>
          <w:sz w:val="20"/>
        </w:rPr>
        <w:t xml:space="preserve">NOTE 5 - </w:t>
      </w:r>
      <w:bookmarkStart w:id="325" w:name="xdx_82E_zSocyywARn4l"/>
      <w:bookmarkEnd w:id="325"/>
      <w:r>
        <w:rPr>
          <w:rFonts w:ascii="Times New Roman;Times;Serif" w:hAnsi="Times New Roman;Times;Serif"/>
          <w:b/>
          <w:i w:val="false"/>
          <w:caps w:val="false"/>
          <w:smallCaps w:val="false"/>
          <w:sz w:val="20"/>
        </w:rPr>
        <w:t>MARKETABLE SECURITIES</w:t>
      </w:r>
    </w:p>
    <w:p>
      <w:pPr>
        <w:pStyle w:val="TextBody"/>
        <w:shd w:fill="FFFFFF" w:val="clear"/>
        <w:bidi w:val="0"/>
        <w:spacing w:before="0" w:after="0"/>
        <w:ind w:left="719" w:right="0" w:hanging="0"/>
        <w:jc w:val="left"/>
        <w:rPr>
          <w:caps w:val="false"/>
          <w:smallCaps w:val="false"/>
        </w:rPr>
      </w:pPr>
      <w:r>
        <w:rPr>
          <w:caps w:val="false"/>
          <w:smallCaps w:val="false"/>
        </w:rPr>
        <w:t> </w:t>
      </w:r>
    </w:p>
    <w:p>
      <w:pPr>
        <w:pStyle w:val="TextBody"/>
        <w:shd w:fill="FFFFFF" w:val="clear"/>
        <w:bidi w:val="0"/>
        <w:spacing w:before="0" w:after="0"/>
        <w:ind w:left="7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all of the Company’s investment in marketable securities had contractual maturity of less than one year.</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rFonts w:ascii="Times New Roman;Times;Serif" w:hAnsi="Times New Roman;Times;Serif"/>
          <w:b w:val="false"/>
          <w:i w:val="false"/>
          <w:caps w:val="false"/>
          <w:smallCaps w:val="false"/>
          <w:sz w:val="20"/>
        </w:rPr>
      </w:pPr>
      <w:bookmarkStart w:id="326" w:name="xdx_899_ecustom--ScheduleOfChangesInFair"/>
      <w:bookmarkEnd w:id="326"/>
      <w:r>
        <w:rPr>
          <w:rFonts w:ascii="Times New Roman;Times;Serif" w:hAnsi="Times New Roman;Times;Serif"/>
          <w:b w:val="false"/>
          <w:i w:val="false"/>
          <w:caps w:val="false"/>
          <w:smallCaps w:val="false"/>
          <w:sz w:val="20"/>
        </w:rPr>
        <w:t>The table below sets forth a summary of the changes in the fair value of the Company’s marketable securities for the nine-month period ended September 30, 2025, and 2024:</w:t>
      </w:r>
    </w:p>
    <w:p>
      <w:pPr>
        <w:pStyle w:val="TextBody"/>
        <w:shd w:fill="FFFFFF" w:val="clear"/>
        <w:bidi w:val="0"/>
        <w:spacing w:before="0" w:after="0"/>
        <w:ind w:left="719" w:right="0" w:hanging="0"/>
        <w:jc w:val="both"/>
        <w:rPr>
          <w:caps w:val="false"/>
          <w:smallCaps w:val="false"/>
        </w:rPr>
      </w:pPr>
      <w:r>
        <w:rPr>
          <w:caps w:val="false"/>
          <w:smallCaps w:val="false"/>
        </w:rPr>
        <w:t> </w:t>
      </w:r>
      <w:bookmarkStart w:id="327" w:name="xdx_8BF_zvt6xWxD8Hu9"/>
      <w:bookmarkEnd w:id="327"/>
      <w:r>
        <w:rPr>
          <w:rFonts w:ascii="Times New Roman;Times;Serif" w:hAnsi="Times New Roman;Times;Serif"/>
          <w:b w:val="false"/>
          <w:i w:val="false"/>
          <w:caps w:val="false"/>
          <w:smallCaps w:val="false"/>
          <w:sz w:val="20"/>
        </w:rPr>
        <w:t>SCHEDULE OF CHANGES IN FAIR VALUE OF MARKETABLE SECURITIES</w:t>
      </w:r>
    </w:p>
    <w:tbl>
      <w:tblPr>
        <w:tblW w:w="5877" w:type="dxa"/>
        <w:jc w:val="left"/>
        <w:tblInd w:w="0" w:type="dxa"/>
        <w:tblLayout w:type="fixed"/>
        <w:tblCellMar>
          <w:top w:w="0" w:type="dxa"/>
          <w:left w:w="0" w:type="dxa"/>
          <w:bottom w:w="0" w:type="dxa"/>
          <w:right w:w="0" w:type="dxa"/>
        </w:tblCellMar>
      </w:tblPr>
      <w:tblGrid>
        <w:gridCol w:w="3725"/>
        <w:gridCol w:w="60"/>
        <w:gridCol w:w="149"/>
        <w:gridCol w:w="803"/>
        <w:gridCol w:w="101"/>
        <w:gridCol w:w="63"/>
        <w:gridCol w:w="63"/>
        <w:gridCol w:w="803"/>
        <w:gridCol w:w="110"/>
      </w:tblGrid>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8" w:name="xdx_490_20250101__20250930_zqMI5yF92It"/>
            <w:bookmarkEnd w:id="328"/>
          </w:p>
        </w:tc>
        <w:tc>
          <w:tcPr>
            <w:tcW w:w="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329" w:name="xdx_497_20240101__20240930_zQPGpnFPQUvk"/>
            <w:bookmarkEnd w:id="329"/>
          </w:p>
        </w:tc>
        <w:tc>
          <w:tcPr>
            <w:tcW w:w="8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30" w:name="xdx_40A_eus-gaap--MarketableSecuritiesCu"/>
            <w:bookmarkEnd w:id="330"/>
          </w:p>
        </w:tc>
      </w:tr>
      <w:tr>
        <w:trPr/>
        <w:tc>
          <w:tcPr>
            <w:tcW w:w="3725" w:type="dxa"/>
            <w:tcBorders/>
            <w:shd w:fill="CCEEFF" w:val="clear"/>
            <w:vAlign w:val="center"/>
          </w:tcPr>
          <w:p>
            <w:pPr>
              <w:pStyle w:val="TableContents"/>
              <w:bidi w:val="0"/>
              <w:spacing w:before="0" w:after="283"/>
              <w:jc w:val="left"/>
              <w:rPr/>
            </w:pPr>
            <w:r>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15,721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29,383</w:t>
            </w:r>
          </w:p>
        </w:tc>
        <w:tc>
          <w:tcPr>
            <w:tcW w:w="110" w:type="dxa"/>
            <w:tcBorders/>
            <w:shd w:fill="CCEEFF" w:val="clear"/>
            <w:vAlign w:val="center"/>
          </w:tcPr>
          <w:p>
            <w:pPr>
              <w:pStyle w:val="TableContents"/>
              <w:bidi w:val="0"/>
              <w:spacing w:before="0" w:after="283"/>
              <w:jc w:val="left"/>
              <w:rPr/>
            </w:pPr>
            <w:r>
              <w:rPr/>
              <w:t> </w:t>
            </w:r>
            <w:bookmarkStart w:id="331" w:name="xdx_40C_eus-gaap--PaymentsToAcquireMarke"/>
            <w:bookmarkEnd w:id="331"/>
          </w:p>
        </w:tc>
      </w:tr>
      <w:tr>
        <w:trPr/>
        <w:tc>
          <w:tcPr>
            <w:tcW w:w="372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11,749</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14,444</w:t>
            </w:r>
          </w:p>
        </w:tc>
        <w:tc>
          <w:tcPr>
            <w:tcW w:w="110" w:type="dxa"/>
            <w:tcBorders/>
            <w:shd w:fill="FFFFFF" w:val="clear"/>
            <w:vAlign w:val="center"/>
          </w:tcPr>
          <w:p>
            <w:pPr>
              <w:pStyle w:val="TableContents"/>
              <w:bidi w:val="0"/>
              <w:spacing w:before="0" w:after="283"/>
              <w:jc w:val="left"/>
              <w:rPr/>
            </w:pPr>
            <w:r>
              <w:rPr/>
              <w:t> </w:t>
            </w:r>
            <w:bookmarkStart w:id="332" w:name="xdx_40D_eus-gaap--ProceedsFromSaleAndMat"/>
            <w:bookmarkEnd w:id="332"/>
          </w:p>
        </w:tc>
      </w:tr>
      <w:tr>
        <w:trPr/>
        <w:tc>
          <w:tcPr>
            <w:tcW w:w="3725" w:type="dxa"/>
            <w:tcBorders/>
            <w:shd w:fill="CCEEFF" w:val="clear"/>
            <w:vAlign w:val="center"/>
          </w:tcPr>
          <w:p>
            <w:pPr>
              <w:pStyle w:val="TableContents"/>
              <w:bidi w:val="0"/>
              <w:spacing w:before="0" w:after="283"/>
              <w:jc w:val="left"/>
              <w:rPr/>
            </w:pPr>
            <w:r>
              <w:rPr/>
              <w:t>Maturity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(27,648</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(20,000</w:t>
            </w:r>
          </w:p>
        </w:tc>
        <w:tc>
          <w:tcPr>
            <w:tcW w:w="110" w:type="dxa"/>
            <w:tcBorders/>
            <w:shd w:fill="CCEEFF" w:val="clear"/>
            <w:vAlign w:val="center"/>
          </w:tcPr>
          <w:p>
            <w:pPr>
              <w:pStyle w:val="TableContents"/>
              <w:bidi w:val="0"/>
              <w:spacing w:before="0" w:after="283"/>
              <w:jc w:val="left"/>
              <w:rPr/>
            </w:pPr>
            <w:r>
              <w:rPr/>
              <w:t>)</w:t>
            </w:r>
            <w:bookmarkStart w:id="333" w:name="xdx_404_eus-gaap--ProceedsFromInterestRe"/>
            <w:bookmarkEnd w:id="333"/>
          </w:p>
        </w:tc>
      </w:tr>
      <w:tr>
        <w:trPr/>
        <w:tc>
          <w:tcPr>
            <w:tcW w:w="3725"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(109</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(217</w:t>
            </w:r>
          </w:p>
        </w:tc>
        <w:tc>
          <w:tcPr>
            <w:tcW w:w="110" w:type="dxa"/>
            <w:tcBorders/>
            <w:shd w:fill="FFFFFF" w:val="clear"/>
            <w:vAlign w:val="center"/>
          </w:tcPr>
          <w:p>
            <w:pPr>
              <w:pStyle w:val="TableContents"/>
              <w:bidi w:val="0"/>
              <w:spacing w:before="0" w:after="283"/>
              <w:jc w:val="left"/>
              <w:rPr/>
            </w:pPr>
            <w:r>
              <w:rPr/>
              <w:t>)</w:t>
            </w:r>
            <w:bookmarkStart w:id="334" w:name="xdx_402_ecustom--ChangesInFairValueMarke"/>
            <w:bookmarkEnd w:id="334"/>
          </w:p>
        </w:tc>
      </w:tr>
      <w:tr>
        <w:trPr/>
        <w:tc>
          <w:tcPr>
            <w:tcW w:w="3725" w:type="dxa"/>
            <w:tcBorders/>
            <w:shd w:fill="CCEEFF" w:val="clear"/>
            <w:vAlign w:val="center"/>
          </w:tcPr>
          <w:p>
            <w:pPr>
              <w:pStyle w:val="TableContents"/>
              <w:bidi w:val="0"/>
              <w:spacing w:before="0" w:after="283"/>
              <w:jc w:val="left"/>
              <w:rPr/>
            </w:pPr>
            <w:r>
              <w:rPr/>
              <w:t>Changes in fair value during the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287</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974</w:t>
            </w:r>
          </w:p>
        </w:tc>
        <w:tc>
          <w:tcPr>
            <w:tcW w:w="110" w:type="dxa"/>
            <w:tcBorders/>
            <w:shd w:fill="CCEEFF" w:val="clear"/>
            <w:vAlign w:val="center"/>
          </w:tcPr>
          <w:p>
            <w:pPr>
              <w:pStyle w:val="TableContents"/>
              <w:bidi w:val="0"/>
              <w:spacing w:before="0" w:after="283"/>
              <w:jc w:val="left"/>
              <w:rPr/>
            </w:pPr>
            <w:r>
              <w:rPr/>
              <w:t> </w:t>
            </w:r>
            <w:bookmarkStart w:id="335" w:name="xdx_402_eus-gaap--MarketableSecuritiesCu"/>
            <w:bookmarkEnd w:id="335"/>
          </w:p>
        </w:tc>
      </w:tr>
      <w:tr>
        <w:trPr/>
        <w:tc>
          <w:tcPr>
            <w:tcW w:w="3725" w:type="dxa"/>
            <w:tcBorders/>
            <w:shd w:fill="FFFFFF" w:val="clear"/>
            <w:vAlign w:val="center"/>
          </w:tcPr>
          <w:p>
            <w:pPr>
              <w:pStyle w:val="TableContents"/>
              <w:bidi w:val="0"/>
              <w:spacing w:before="0" w:after="283"/>
              <w:jc w:val="left"/>
              <w:rPr/>
            </w:pPr>
            <w:r>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24,584</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both"/>
        <w:rPr>
          <w:caps w:val="false"/>
          <w:smallCaps w:val="false"/>
        </w:rPr>
      </w:pPr>
      <w:bookmarkStart w:id="336" w:name="xdx_8AE_zpkGljLduld3"/>
      <w:bookmarkEnd w:id="336"/>
      <w:r>
        <w:rPr>
          <w:caps w:val="false"/>
          <w:smallCaps w:val="false"/>
        </w:rPr>
        <w:t> </w:t>
      </w:r>
    </w:p>
    <w:p>
      <w:pPr>
        <w:pStyle w:val="TextBody"/>
        <w:shd w:fill="FFFFFF" w:val="clear"/>
        <w:bidi w:val="0"/>
        <w:spacing w:before="0" w:after="0"/>
        <w:ind w:left="7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to measure and recognize its investments in debt securities in accordance with Accounting Standards Codification ASC 825, Financial Instruments as the Company managed and evaluated the performance on a fair value basis.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7" w:name="xdx_800_eus-gaap--StockholdersEquityNote"/>
      <w:bookmarkEnd w:id="337"/>
      <w:r>
        <w:rPr>
          <w:rFonts w:ascii="Times New Roman;Times;Serif" w:hAnsi="Times New Roman;Times;Serif"/>
          <w:b/>
          <w:i w:val="false"/>
          <w:caps w:val="false"/>
          <w:smallCaps w:val="false"/>
          <w:sz w:val="20"/>
        </w:rPr>
        <w:t xml:space="preserve">NOTE 6 - </w:t>
      </w:r>
      <w:bookmarkStart w:id="338" w:name="xdx_82D_zcoxkayNVyKl"/>
      <w:bookmarkEnd w:id="338"/>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there were </w:t>
            </w:r>
            <w:bookmarkStart w:id="339" w:name="xdx_905_eus-gaap--PreferredStockSharesOu"/>
            <w:bookmarkEnd w:id="339"/>
            <w:r>
              <w:rPr>
                <w:rFonts w:ascii="Times New Roman;Times;Serif" w:hAnsi="Times New Roman;Times;Serif"/>
                <w:b w:val="false"/>
                <w:i w:val="false"/>
                <w:caps w:val="false"/>
                <w:smallCaps w:val="false"/>
                <w:sz w:val="20"/>
              </w:rPr>
              <w:t>1,718 shares of Series C Preferred Stock outstanding, convertible into an aggregate of</w:t>
            </w:r>
            <w:bookmarkStart w:id="340" w:name="xdx_90D_eus-gaap--PreferredStockConverti"/>
            <w:bookmarkEnd w:id="340"/>
            <w:r>
              <w:rPr>
                <w:rFonts w:ascii="Times New Roman;Times;Serif" w:hAnsi="Times New Roman;Times;Serif"/>
                <w:b w:val="false"/>
                <w:i w:val="false"/>
                <w:caps w:val="false"/>
                <w:smallCaps w:val="false"/>
                <w:sz w:val="20"/>
              </w:rPr>
              <w:t xml:space="preserve"> 7,952 shares of the Company’s common stock, with a total stated value of $</w:t>
            </w:r>
            <w:bookmarkStart w:id="341" w:name="xdx_901_eus-gaap--PreferredStockValue_iI"/>
            <w:bookmarkEnd w:id="341"/>
            <w:r>
              <w:rPr>
                <w:rFonts w:ascii="Times New Roman;Times;Serif" w:hAnsi="Times New Roman;Times;Serif"/>
                <w:b w:val="false"/>
                <w:i w:val="false"/>
                <w:caps w:val="false"/>
                <w:smallCaps w:val="false"/>
                <w:sz w:val="20"/>
              </w:rPr>
              <w:t>10,997.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FFFFFF" w:val="cle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there are </w:t>
            </w:r>
            <w:bookmarkStart w:id="342" w:name="xdx_903_eus-gaap--ClassOfWarrantOrRightN"/>
            <w:bookmarkEnd w:id="342"/>
            <w:r>
              <w:rPr>
                <w:rFonts w:ascii="Times New Roman;Times;Serif" w:hAnsi="Times New Roman;Times;Serif"/>
                <w:b w:val="false"/>
                <w:i w:val="false"/>
                <w:caps w:val="false"/>
                <w:smallCaps w:val="false"/>
                <w:sz w:val="20"/>
              </w:rPr>
              <w:t>44,092,107 outstanding pre-funded warrants.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June 30, 2025, pre-funded warrants were exercised on a cashless basis; from July 1, 2025 through September 30, 2025, pre-funded warrants were exercised for cash.</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has outstanding warrants to purchase an aggregate of </w:t>
            </w:r>
            <w:bookmarkStart w:id="343" w:name="xdx_90D_eus-gaap--ClassOfWarrantOrRightN"/>
            <w:bookmarkEnd w:id="343"/>
            <w:r>
              <w:rPr>
                <w:rFonts w:ascii="Times New Roman;Times;Serif" w:hAnsi="Times New Roman;Times;Serif"/>
                <w:b w:val="false"/>
                <w:i w:val="false"/>
                <w:caps w:val="false"/>
                <w:smallCaps w:val="false"/>
                <w:sz w:val="20"/>
              </w:rPr>
              <w:t>26,935,323 shares of common stock as follows:</w:t>
            </w:r>
          </w:p>
        </w:tc>
      </w:tr>
    </w:tbl>
    <w:p>
      <w:pPr>
        <w:pStyle w:val="TextBody"/>
        <w:bidi w:val="0"/>
        <w:spacing w:before="0" w:after="0"/>
        <w:ind w:left="0" w:right="0" w:hanging="0"/>
        <w:jc w:val="left"/>
        <w:rPr>
          <w:caps w:val="false"/>
          <w:smallCaps w:val="false"/>
        </w:rPr>
      </w:pPr>
      <w:bookmarkStart w:id="344" w:name="xdx_89B_eus-gaap--ScheduleOfStockholders"/>
      <w:bookmarkEnd w:id="344"/>
      <w:r>
        <w:rPr>
          <w:caps w:val="false"/>
          <w:smallCaps w:val="false"/>
        </w:rPr>
        <w:t> </w:t>
      </w:r>
      <w:bookmarkStart w:id="345" w:name="xdx_8B9_zC8iIxh6a2V1"/>
      <w:bookmarkEnd w:id="345"/>
      <w:r>
        <w:rPr>
          <w:rFonts w:ascii="Times New Roman;Times;Serif" w:hAnsi="Times New Roman;Times;Serif"/>
          <w:b w:val="false"/>
          <w:i w:val="false"/>
          <w:caps w:val="false"/>
          <w:smallCaps w:val="false"/>
          <w:sz w:val="20"/>
        </w:rPr>
        <w:t>SCHEDULE OF ISSUANCE OF WARRANTS TO PURCHASE COMMON STOCK</w:t>
      </w:r>
    </w:p>
    <w:tbl>
      <w:tblPr>
        <w:tblW w:w="6573" w:type="dxa"/>
        <w:jc w:val="left"/>
        <w:tblInd w:w="0" w:type="dxa"/>
        <w:tblLayout w:type="fixed"/>
        <w:tblCellMar>
          <w:top w:w="0" w:type="dxa"/>
          <w:left w:w="0" w:type="dxa"/>
          <w:bottom w:w="0" w:type="dxa"/>
          <w:right w:w="0" w:type="dxa"/>
        </w:tblCellMar>
      </w:tblPr>
      <w:tblGrid>
        <w:gridCol w:w="1760"/>
        <w:gridCol w:w="60"/>
        <w:gridCol w:w="75"/>
        <w:gridCol w:w="1384"/>
        <w:gridCol w:w="60"/>
        <w:gridCol w:w="60"/>
        <w:gridCol w:w="230"/>
        <w:gridCol w:w="1124"/>
        <w:gridCol w:w="60"/>
        <w:gridCol w:w="60"/>
        <w:gridCol w:w="1700"/>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pPr>
            <w:r>
              <w:rPr/>
              <w:t>Number of</w:t>
            </w:r>
          </w:p>
          <w:p>
            <w:pPr>
              <w:pStyle w:val="TableContents"/>
              <w:bidi w:val="0"/>
              <w:spacing w:before="0" w:after="283"/>
              <w:jc w:val="center"/>
              <w:rPr/>
            </w:pPr>
            <w:r>
              <w:rPr/>
              <w:t xml:space="preserve">underlying </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center"/>
              <w:rPr/>
            </w:pPr>
            <w:r>
              <w:rPr/>
              <w:t>Expiration date</w:t>
            </w:r>
          </w:p>
        </w:tc>
      </w:tr>
      <w:tr>
        <w:trPr/>
        <w:tc>
          <w:tcPr>
            <w:tcW w:w="1760" w:type="dxa"/>
            <w:tcBorders/>
            <w:shd w:fill="CCEEFF" w:val="clear"/>
            <w:vAlign w:val="center"/>
          </w:tcPr>
          <w:p>
            <w:pPr>
              <w:pStyle w:val="TableContents"/>
              <w:bidi w:val="0"/>
              <w:spacing w:before="0" w:after="283"/>
              <w:jc w:val="left"/>
              <w:rPr/>
            </w:pPr>
            <w:r>
              <w:rPr/>
              <w:t>Series F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46" w:name="xdx_98E_eus-gaap--ClassOfWarrantOrRightN"/>
            <w:bookmarkEnd w:id="346"/>
          </w:p>
        </w:tc>
        <w:tc>
          <w:tcPr>
            <w:tcW w:w="1384" w:type="dxa"/>
            <w:tcBorders/>
            <w:shd w:fill="CCEEFF" w:val="clear"/>
            <w:vAlign w:val="center"/>
          </w:tcPr>
          <w:p>
            <w:pPr>
              <w:pStyle w:val="TableContents"/>
              <w:bidi w:val="0"/>
              <w:spacing w:before="0" w:after="283"/>
              <w:jc w:val="right"/>
              <w:rPr/>
            </w:pPr>
            <w:r>
              <w:rPr/>
              <w:t>14,815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47" w:name="xdx_98A_eus-gaap--ClassOfWarrantOrRightE"/>
            <w:bookmarkEnd w:id="347"/>
          </w:p>
        </w:tc>
        <w:tc>
          <w:tcPr>
            <w:tcW w:w="1124" w:type="dxa"/>
            <w:tcBorders/>
            <w:shd w:fill="CCEEFF" w:val="clear"/>
            <w:vAlign w:val="center"/>
          </w:tcPr>
          <w:p>
            <w:pPr>
              <w:pStyle w:val="TableContents"/>
              <w:bidi w:val="0"/>
              <w:spacing w:before="0" w:after="283"/>
              <w:jc w:val="right"/>
              <w:rPr/>
            </w:pPr>
            <w:r>
              <w:rPr/>
              <w:t>7.4250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bookmarkStart w:id="348" w:name="xdx_904_ecustom--ClassOfWarrantOrRighstD"/>
            <w:bookmarkEnd w:id="348"/>
            <w:r>
              <w:rPr/>
              <w:t>October 16, 2025</w:t>
            </w:r>
          </w:p>
        </w:tc>
      </w:tr>
      <w:tr>
        <w:trPr/>
        <w:tc>
          <w:tcPr>
            <w:tcW w:w="1760" w:type="dxa"/>
            <w:tcBorders/>
            <w:shd w:fill="FFFFFF" w:val="clear"/>
            <w:vAlign w:val="center"/>
          </w:tcPr>
          <w:p>
            <w:pPr>
              <w:pStyle w:val="TableContents"/>
              <w:bidi w:val="0"/>
              <w:spacing w:before="0" w:after="283"/>
              <w:jc w:val="left"/>
              <w:rPr/>
            </w:pPr>
            <w:r>
              <w:rPr/>
              <w:t>Series G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49" w:name="xdx_988_eus-gaap--ClassOfWarrantOrRightN"/>
            <w:bookmarkEnd w:id="349"/>
          </w:p>
        </w:tc>
        <w:tc>
          <w:tcPr>
            <w:tcW w:w="1384" w:type="dxa"/>
            <w:tcBorders/>
            <w:shd w:fill="FFFFFF" w:val="clear"/>
            <w:vAlign w:val="center"/>
          </w:tcPr>
          <w:p>
            <w:pPr>
              <w:pStyle w:val="TableContents"/>
              <w:bidi w:val="0"/>
              <w:spacing w:before="0" w:after="283"/>
              <w:jc w:val="right"/>
              <w:rPr/>
            </w:pPr>
            <w:r>
              <w:rPr/>
              <w:t>1,092,344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bookmarkStart w:id="350" w:name="xdx_98A_eus-gaap--ClassOfWarrantOrRightE"/>
            <w:bookmarkEnd w:id="350"/>
          </w:p>
        </w:tc>
        <w:tc>
          <w:tcPr>
            <w:tcW w:w="1124" w:type="dxa"/>
            <w:tcBorders/>
            <w:shd w:fill="FFFFFF" w:val="clear"/>
            <w:vAlign w:val="center"/>
          </w:tcPr>
          <w:p>
            <w:pPr>
              <w:pStyle w:val="TableContents"/>
              <w:bidi w:val="0"/>
              <w:spacing w:before="0" w:after="283"/>
              <w:jc w:val="right"/>
              <w:rPr/>
            </w:pPr>
            <w:r>
              <w:rPr/>
              <w:t>10.230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center"/>
              <w:rPr/>
            </w:pPr>
            <w:bookmarkStart w:id="351" w:name="xdx_904_eus-gaap--ClassOfWarrantOrRighst"/>
            <w:bookmarkEnd w:id="351"/>
            <w:r>
              <w:rPr/>
              <w:t>February 8, 2026</w:t>
            </w:r>
            <w:bookmarkStart w:id="352" w:name="xdx_F4B_zztFrStDQpDl"/>
            <w:bookmarkEnd w:id="352"/>
          </w:p>
        </w:tc>
      </w:tr>
      <w:tr>
        <w:trPr/>
        <w:tc>
          <w:tcPr>
            <w:tcW w:w="1760" w:type="dxa"/>
            <w:tcBorders/>
            <w:shd w:fill="CCEEFF" w:val="clear"/>
            <w:vAlign w:val="center"/>
          </w:tcPr>
          <w:p>
            <w:pPr>
              <w:pStyle w:val="TableContents"/>
              <w:bidi w:val="0"/>
              <w:spacing w:before="0" w:after="283"/>
              <w:jc w:val="left"/>
              <w:rPr/>
            </w:pPr>
            <w:r>
              <w:rPr/>
              <w:t>Series J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53" w:name="xdx_98A_eus-gaap--ClassOfWarrantOrRightN"/>
            <w:bookmarkEnd w:id="353"/>
          </w:p>
        </w:tc>
        <w:tc>
          <w:tcPr>
            <w:tcW w:w="1384" w:type="dxa"/>
            <w:tcBorders/>
            <w:shd w:fill="CCEEFF" w:val="clear"/>
            <w:vAlign w:val="center"/>
          </w:tcPr>
          <w:p>
            <w:pPr>
              <w:pStyle w:val="TableContents"/>
              <w:bidi w:val="0"/>
              <w:spacing w:before="0" w:after="283"/>
              <w:jc w:val="right"/>
              <w:rPr/>
            </w:pPr>
            <w:r>
              <w:rPr/>
              <w:t>12,914,086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54" w:name="xdx_98B_eus-gaap--ClassOfWarrantOrRightE"/>
            <w:bookmarkEnd w:id="354"/>
          </w:p>
        </w:tc>
        <w:tc>
          <w:tcPr>
            <w:tcW w:w="1124" w:type="dxa"/>
            <w:tcBorders/>
            <w:shd w:fill="CCEEFF" w:val="clear"/>
            <w:vAlign w:val="center"/>
          </w:tcPr>
          <w:p>
            <w:pPr>
              <w:pStyle w:val="TableContents"/>
              <w:bidi w:val="0"/>
              <w:spacing w:before="0" w:after="283"/>
              <w:jc w:val="right"/>
              <w:rPr/>
            </w:pPr>
            <w:r>
              <w:rPr/>
              <w:t>1.3827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rFonts w:ascii="Times New Roman;Times;Serif" w:hAnsi="Times New Roman;Times;Serif"/>
                <w:sz w:val="20"/>
              </w:rPr>
            </w:pPr>
            <w:bookmarkStart w:id="355" w:name="xdx_90A_ecustom--ClassOfWarrantOrRighstD"/>
            <w:bookmarkEnd w:id="355"/>
            <w:r>
              <w:rPr>
                <w:rFonts w:ascii="Times New Roman;Times;Serif" w:hAnsi="Times New Roman;Times;Serif"/>
                <w:sz w:val="20"/>
              </w:rPr>
              <w:t>*</w:t>
            </w:r>
            <w:bookmarkStart w:id="356" w:name="xdx_F41_z4XSrIRp2Jvc"/>
            <w:bookmarkEnd w:id="356"/>
          </w:p>
        </w:tc>
      </w:tr>
      <w:tr>
        <w:trPr/>
        <w:tc>
          <w:tcPr>
            <w:tcW w:w="1760" w:type="dxa"/>
            <w:tcBorders/>
            <w:shd w:fill="FFFFFF" w:val="clear"/>
            <w:vAlign w:val="center"/>
          </w:tcPr>
          <w:p>
            <w:pPr>
              <w:pStyle w:val="TableContents"/>
              <w:bidi w:val="0"/>
              <w:spacing w:before="0" w:after="283"/>
              <w:jc w:val="left"/>
              <w:rPr/>
            </w:pPr>
            <w:r>
              <w:rPr/>
              <w:t>Series K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57" w:name="xdx_98F_eus-gaap--ClassOfWarrantOrRightN"/>
            <w:bookmarkEnd w:id="357"/>
          </w:p>
        </w:tc>
        <w:tc>
          <w:tcPr>
            <w:tcW w:w="1384" w:type="dxa"/>
            <w:tcBorders/>
            <w:shd w:fill="FFFFFF" w:val="clear"/>
            <w:vAlign w:val="center"/>
          </w:tcPr>
          <w:p>
            <w:pPr>
              <w:pStyle w:val="TableContents"/>
              <w:bidi w:val="0"/>
              <w:spacing w:before="0" w:after="283"/>
              <w:jc w:val="right"/>
              <w:rPr/>
            </w:pPr>
            <w:r>
              <w:rPr/>
              <w:t>12,914,078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bookmarkStart w:id="358" w:name="xdx_985_eus-gaap--ClassOfWarrantOrRightE"/>
            <w:bookmarkEnd w:id="358"/>
          </w:p>
        </w:tc>
        <w:tc>
          <w:tcPr>
            <w:tcW w:w="1124" w:type="dxa"/>
            <w:tcBorders/>
            <w:shd w:fill="FFFFFF" w:val="clear"/>
            <w:vAlign w:val="center"/>
          </w:tcPr>
          <w:p>
            <w:pPr>
              <w:pStyle w:val="TableContents"/>
              <w:bidi w:val="0"/>
              <w:spacing w:before="0" w:after="283"/>
              <w:jc w:val="right"/>
              <w:rPr/>
            </w:pPr>
            <w:r>
              <w:rPr/>
              <w:t>1.3827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center"/>
              <w:rPr>
                <w:rFonts w:ascii="Times New Roman;Times;Serif" w:hAnsi="Times New Roman;Times;Serif"/>
                <w:sz w:val="20"/>
              </w:rPr>
            </w:pPr>
            <w:bookmarkStart w:id="359" w:name="xdx_90A_ecustom--ClassOfWarrantOrRighstD"/>
            <w:bookmarkEnd w:id="359"/>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283"/>
              <w:jc w:val="left"/>
              <w:rPr/>
            </w:pPr>
            <w:r>
              <w:rPr/>
              <w:t>Total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60" w:name="xdx_980_eus-gaap--ClassOfWarrantOrRightN"/>
            <w:bookmarkEnd w:id="360"/>
          </w:p>
        </w:tc>
        <w:tc>
          <w:tcPr>
            <w:tcW w:w="1384" w:type="dxa"/>
            <w:tcBorders/>
            <w:shd w:fill="CCEEFF" w:val="clear"/>
            <w:vAlign w:val="center"/>
          </w:tcPr>
          <w:p>
            <w:pPr>
              <w:pStyle w:val="TableContents"/>
              <w:bidi w:val="0"/>
              <w:spacing w:before="0" w:after="283"/>
              <w:jc w:val="right"/>
              <w:rPr/>
            </w:pPr>
            <w:r>
              <w:rPr/>
              <w:t>26,935,323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1" w:name="xdx_F03_zYwzQoeWn2Q"/>
            <w:bookmarkEnd w:id="361"/>
            <w:r>
              <w:rPr>
                <w:rFonts w:ascii="Times New Roman;Times;Serif" w:hAnsi="Times New Roman;Times;Serif"/>
                <w:b w:val="false"/>
                <w:i w:val="false"/>
                <w:caps w:val="false"/>
                <w:smallCaps w:val="false"/>
                <w:sz w:val="20"/>
              </w:rPr>
              <w:t>*</w:t>
            </w:r>
          </w:p>
        </w:tc>
        <w:tc>
          <w:tcPr>
            <w:tcW w:w="10042"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362" w:name="xdx_F12_zVlFgx4pckd4"/>
            <w:bookmarkEnd w:id="362"/>
            <w:r>
              <w:rPr>
                <w:rFonts w:ascii="Times New Roman;Times;Serif" w:hAnsi="Times New Roman;Times;Serif"/>
                <w:b w:val="false"/>
                <w:i w:val="false"/>
                <w:caps w:val="false"/>
                <w:smallCaps w:val="false"/>
                <w:sz w:val="20"/>
              </w:rPr>
              <w:t>The Series J Warrants and Series K Warrants have a term of the earlier of (i) May 15, 2028 and (ii) (A) in the case of the Series J Warrants, 20 trading days following the Company’s announcement of receipt of FDA approval for the SwitchGuard and CGuard Prime 80 and (B) in the case on the Series K Warrants, 20 trading days following the end of the fourth fiscal quarter after the fiscal quarter in which the first commercial sales of the CGuard Carotid Stent System in the United States begins.</w:t>
            </w:r>
          </w:p>
          <w:p>
            <w:pPr>
              <w:pStyle w:val="TableContents"/>
              <w:bidi w:val="0"/>
              <w:spacing w:before="0" w:after="0"/>
              <w:ind w:left="0" w:right="0" w:hanging="0"/>
              <w:jc w:val="both"/>
              <w:rPr>
                <w:caps w:val="false"/>
                <w:smallCaps w:val="false"/>
              </w:rPr>
            </w:pPr>
            <w:bookmarkStart w:id="363" w:name="xdx_8A9_za0kr3awItKd"/>
            <w:bookmarkEnd w:id="363"/>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a total of </w:t>
            </w:r>
            <w:bookmarkStart w:id="364" w:name="xdx_904_ecustom--WarrantsExpired_pid_c20"/>
            <w:bookmarkEnd w:id="364"/>
            <w:r>
              <w:rPr>
                <w:rFonts w:ascii="Times New Roman;Times;Serif" w:hAnsi="Times New Roman;Times;Serif"/>
                <w:b w:val="false"/>
                <w:i w:val="false"/>
                <w:caps w:val="false"/>
                <w:smallCaps w:val="false"/>
                <w:sz w:val="20"/>
              </w:rPr>
              <w:t>14,815 Series F warrants expired.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Exercise of Series I Warrant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Company’s announcement on June 24, 2025, that the FDA approved the PMA of the CGuard Prime Carotid Stent System in the United States, and as of September 30, 2025, an aggregate of </w:t>
            </w:r>
            <w:bookmarkStart w:id="365" w:name="xdx_90F_eus-gaap--ClassOfWarrantOrRightO"/>
            <w:bookmarkEnd w:id="365"/>
            <w:r>
              <w:rPr>
                <w:rFonts w:ascii="Times New Roman;Times;Serif" w:hAnsi="Times New Roman;Times;Serif"/>
                <w:b w:val="false"/>
                <w:i w:val="false"/>
                <w:caps w:val="false"/>
                <w:smallCaps w:val="false"/>
                <w:sz w:val="20"/>
              </w:rPr>
              <w:t xml:space="preserve">12,914,078 Series I Warrants were exercised into </w:t>
            </w:r>
            <w:bookmarkStart w:id="366" w:name="xdx_907_ecustom--StockIssuedDuringPeriod"/>
            <w:bookmarkEnd w:id="366"/>
            <w:r>
              <w:rPr>
                <w:rFonts w:ascii="Times New Roman;Times;Serif" w:hAnsi="Times New Roman;Times;Serif"/>
                <w:b w:val="false"/>
                <w:i w:val="false"/>
                <w:caps w:val="false"/>
                <w:smallCaps w:val="false"/>
                <w:sz w:val="20"/>
              </w:rPr>
              <w:t>2,352,393 shares of common stock at an exercise price of $</w:t>
            </w:r>
            <w:bookmarkStart w:id="367" w:name="xdx_902_eus-gaap--ClassOfWarrantOrRightE"/>
            <w:bookmarkEnd w:id="367"/>
            <w:r>
              <w:rPr>
                <w:rFonts w:ascii="Times New Roman;Times;Serif" w:hAnsi="Times New Roman;Times;Serif"/>
                <w:b w:val="false"/>
                <w:i w:val="false"/>
                <w:caps w:val="false"/>
                <w:smallCaps w:val="false"/>
                <w:sz w:val="20"/>
              </w:rPr>
              <w:t xml:space="preserve">1.3827 per share and </w:t>
            </w:r>
            <w:bookmarkStart w:id="368" w:name="xdx_904_eus-gaap--StockIssuedDuringPerio"/>
            <w:bookmarkEnd w:id="368"/>
            <w:r>
              <w:rPr>
                <w:rFonts w:ascii="Times New Roman;Times;Serif" w:hAnsi="Times New Roman;Times;Serif"/>
                <w:b w:val="false"/>
                <w:i w:val="false"/>
                <w:caps w:val="false"/>
                <w:smallCaps w:val="false"/>
                <w:sz w:val="20"/>
              </w:rPr>
              <w:t>10,561,685 pre- funded warrants at an exercise price of $</w:t>
            </w:r>
            <w:bookmarkStart w:id="369" w:name="xdx_90B_eus-gaap--ClassOfWarrantOrRightE"/>
            <w:bookmarkEnd w:id="369"/>
            <w:r>
              <w:rPr>
                <w:rFonts w:ascii="Times New Roman;Times;Serif" w:hAnsi="Times New Roman;Times;Serif"/>
                <w:b w:val="false"/>
                <w:i w:val="false"/>
                <w:caps w:val="false"/>
                <w:smallCaps w:val="false"/>
                <w:sz w:val="20"/>
              </w:rPr>
              <w:t>1.3826 per pre-funded warrant, resulting in gross proceeds of approximately $</w:t>
            </w:r>
            <w:bookmarkStart w:id="370" w:name="xdx_907_eus-gaap--ProceedsFromWarrantExe"/>
            <w:bookmarkEnd w:id="370"/>
            <w:r>
              <w:rPr>
                <w:rFonts w:ascii="Times New Roman;Times;Serif" w:hAnsi="Times New Roman;Times;Serif"/>
                <w:b w:val="false"/>
                <w:i w:val="false"/>
                <w:caps w:val="false"/>
                <w:smallCaps w:val="false"/>
                <w:sz w:val="20"/>
              </w:rPr>
              <w:t>17,855 thousand dollars. After deducting issuance costs of $</w:t>
            </w:r>
            <w:bookmarkStart w:id="371" w:name="xdx_903_eus-gaap--PaymentsOfDebtIssuance"/>
            <w:bookmarkEnd w:id="371"/>
            <w:r>
              <w:rPr>
                <w:rFonts w:ascii="Times New Roman;Times;Serif" w:hAnsi="Times New Roman;Times;Serif"/>
                <w:b w:val="false"/>
                <w:i w:val="false"/>
                <w:caps w:val="false"/>
                <w:smallCaps w:val="false"/>
                <w:sz w:val="20"/>
              </w:rPr>
              <w:t>1,000 thousand, the net proceeds amounted to approximately $</w:t>
            </w:r>
            <w:bookmarkStart w:id="372" w:name="xdx_90B_eus-gaap--ProceedsFromDebtNetOfI"/>
            <w:bookmarkEnd w:id="372"/>
            <w:r>
              <w:rPr>
                <w:rFonts w:ascii="Times New Roman;Times;Serif" w:hAnsi="Times New Roman;Times;Serif"/>
                <w:b w:val="false"/>
                <w:i w:val="false"/>
                <w:caps w:val="false"/>
                <w:smallCaps w:val="false"/>
                <w:sz w:val="20"/>
              </w:rPr>
              <w:t>16,855 thousand.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Private Placement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2025, the Company entered into a securities purchase agreement (the “Purchase Agreement”) with investors pursuant to which the Company issued and sold in a private placement (the “Private Placement Offering) of an aggregate of </w:t>
            </w:r>
            <w:bookmarkStart w:id="373" w:name="xdx_90C_eus-gaap--StockIssuedDuringPerio"/>
            <w:bookmarkEnd w:id="373"/>
            <w:r>
              <w:rPr>
                <w:rFonts w:ascii="Times New Roman;Times;Serif" w:hAnsi="Times New Roman;Times;Serif"/>
                <w:b w:val="false"/>
                <w:i w:val="false"/>
                <w:caps w:val="false"/>
                <w:smallCaps w:val="false"/>
                <w:sz w:val="20"/>
              </w:rPr>
              <w:t xml:space="preserve">6,791,380 shares (the “Private Placement Shares”) of the Company’s common stock, and pre-funded warrants (the “Pre-Funded Warrants”) to purchase up to </w:t>
            </w:r>
            <w:bookmarkStart w:id="374" w:name="xdx_901_eus-gaap--ShareBasedCompensation"/>
            <w:bookmarkEnd w:id="374"/>
            <w:r>
              <w:rPr>
                <w:rFonts w:ascii="Times New Roman;Times;Serif" w:hAnsi="Times New Roman;Times;Serif"/>
                <w:b w:val="false"/>
                <w:i w:val="false"/>
                <w:caps w:val="false"/>
                <w:smallCaps w:val="false"/>
                <w:sz w:val="20"/>
              </w:rPr>
              <w:t>9,764,804 shares of common stock, at an offering price of $</w:t>
            </w:r>
            <w:bookmarkStart w:id="375" w:name="xdx_903_eus-gaap--SharesIssuedPricePerSh"/>
            <w:bookmarkEnd w:id="375"/>
            <w:r>
              <w:rPr>
                <w:rFonts w:ascii="Times New Roman;Times;Serif" w:hAnsi="Times New Roman;Times;Serif"/>
                <w:b w:val="false"/>
                <w:i w:val="false"/>
                <w:caps w:val="false"/>
                <w:smallCaps w:val="false"/>
                <w:sz w:val="20"/>
              </w:rPr>
              <w:t>2.42 per Private Placement Share and $</w:t>
            </w:r>
            <w:bookmarkStart w:id="376" w:name="xdx_90A_eus-gaap--SharesIssuedPricePerSh"/>
            <w:bookmarkEnd w:id="376"/>
            <w:r>
              <w:rPr>
                <w:rFonts w:ascii="Times New Roman;Times;Serif" w:hAnsi="Times New Roman;Times;Serif"/>
                <w:b w:val="false"/>
                <w:i w:val="false"/>
                <w:caps w:val="false"/>
                <w:smallCaps w:val="false"/>
                <w:sz w:val="20"/>
              </w:rPr>
              <w:t>2.4199 per Pre-Funded Warrant. The Pre-Funded Warrants are immediately exercisable at an exercise price of $</w:t>
            </w:r>
            <w:bookmarkStart w:id="377" w:name="xdx_909_eus-gaap--ClassOfWarrantOrRightE"/>
            <w:bookmarkEnd w:id="377"/>
            <w:r>
              <w:rPr>
                <w:rFonts w:ascii="Times New Roman;Times;Serif" w:hAnsi="Times New Roman;Times;Serif"/>
                <w:b w:val="false"/>
                <w:i w:val="false"/>
                <w:caps w:val="false"/>
                <w:smallCaps w:val="false"/>
                <w:sz w:val="20"/>
              </w:rPr>
              <w:t>0.0001 per share and will not expire until exercised in full. The Private Placement Offering resulted in gross proceeds to the Company of approximately $</w:t>
            </w:r>
            <w:bookmarkStart w:id="378" w:name="xdx_904_eus-gaap--ProceedsFromIssuanceOf"/>
            <w:bookmarkEnd w:id="378"/>
            <w:r>
              <w:rPr>
                <w:rFonts w:ascii="Times New Roman;Times;Serif" w:hAnsi="Times New Roman;Times;Serif"/>
                <w:b w:val="false"/>
                <w:i w:val="false"/>
                <w:caps w:val="false"/>
                <w:smallCaps w:val="false"/>
                <w:sz w:val="20"/>
              </w:rPr>
              <w:t>40.1 million and closed on August 1, 2025</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issuance costs amounted to $</w:t>
            </w:r>
            <w:bookmarkStart w:id="379" w:name="xdx_90E_eus-gaap--ProceedsFromIssuanceOf"/>
            <w:bookmarkEnd w:id="379"/>
            <w:r>
              <w:rPr>
                <w:rFonts w:ascii="Times New Roman;Times;Serif" w:hAnsi="Times New Roman;Times;Serif"/>
                <w:b w:val="false"/>
                <w:i w:val="false"/>
                <w:caps w:val="false"/>
                <w:smallCaps w:val="false"/>
                <w:sz w:val="20"/>
              </w:rPr>
              <w:t>3,084 thousand.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During the nine months ended September 30, 2025, </w:t>
            </w:r>
            <w:bookmarkStart w:id="380" w:name="xdx_901_eus-gaap--StockIssuedDuringPerio"/>
            <w:bookmarkEnd w:id="380"/>
            <w:r>
              <w:rPr>
                <w:rFonts w:ascii="Times New Roman;Times;Serif" w:hAnsi="Times New Roman;Times;Serif"/>
                <w:b w:val="false"/>
                <w:i w:val="false"/>
                <w:caps w:val="false"/>
                <w:smallCaps w:val="false"/>
                <w:sz w:val="20"/>
              </w:rPr>
              <w:t>718,913 shares of common stock have been sold under the ATM program for total gross proceeds of approximately $</w:t>
            </w:r>
            <w:bookmarkStart w:id="381" w:name="xdx_909_eus-gaap--ProceedsFromIssuanceOf"/>
            <w:bookmarkEnd w:id="381"/>
            <w:r>
              <w:rPr>
                <w:rFonts w:ascii="Times New Roman;Times;Serif" w:hAnsi="Times New Roman;Times;Serif"/>
                <w:b w:val="false"/>
                <w:i w:val="false"/>
                <w:caps w:val="false"/>
                <w:smallCaps w:val="false"/>
                <w:sz w:val="20"/>
              </w:rPr>
              <w:t>1.8 million and total fees of approximately $</w:t>
            </w:r>
            <w:bookmarkStart w:id="382" w:name="xdx_90A_eus-gaap--ProceedsFromFeesReceiv"/>
            <w:bookmarkEnd w:id="382"/>
            <w:r>
              <w:rPr>
                <w:rFonts w:ascii="Times New Roman;Times;Serif" w:hAnsi="Times New Roman;Times;Serif"/>
                <w:b w:val="false"/>
                <w:i w:val="false"/>
                <w:caps w:val="false"/>
                <w:smallCaps w:val="false"/>
                <w:sz w:val="20"/>
              </w:rPr>
              <w:t>64 thousand.</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5"/>
        <w:gridCol w:w="994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p>
        </w:tc>
        <w:tc>
          <w:tcPr>
            <w:tcW w:w="99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had </w:t>
            </w:r>
            <w:bookmarkStart w:id="383" w:name="xdx_90E_eus-gaap--CapitalUnitsAuthorized"/>
            <w:bookmarkEnd w:id="383"/>
            <w:r>
              <w:rPr>
                <w:rFonts w:ascii="Times New Roman;Times;Serif" w:hAnsi="Times New Roman;Times;Serif"/>
                <w:b w:val="false"/>
                <w:i w:val="false"/>
                <w:caps w:val="false"/>
                <w:smallCaps w:val="false"/>
                <w:sz w:val="20"/>
              </w:rPr>
              <w:t>155,000,000 authorized shares of capital stock, par value $</w:t>
            </w:r>
            <w:bookmarkStart w:id="384" w:name="xdx_901_ecustom--CapitalStockParOrStated"/>
            <w:bookmarkEnd w:id="384"/>
            <w:r>
              <w:rPr>
                <w:rFonts w:ascii="Times New Roman;Times;Serif" w:hAnsi="Times New Roman;Times;Serif"/>
                <w:b w:val="false"/>
                <w:i w:val="false"/>
                <w:caps w:val="false"/>
                <w:smallCaps w:val="false"/>
                <w:sz w:val="20"/>
              </w:rPr>
              <w:t xml:space="preserve">0.0001 per share, of which </w:t>
            </w:r>
            <w:bookmarkStart w:id="385" w:name="xdx_904_eus-gaap--CommonStockSharesAutho"/>
            <w:bookmarkEnd w:id="385"/>
            <w:r>
              <w:rPr>
                <w:rFonts w:ascii="Times New Roman;Times;Serif" w:hAnsi="Times New Roman;Times;Serif"/>
                <w:b w:val="false"/>
                <w:i w:val="false"/>
                <w:caps w:val="false"/>
                <w:smallCaps w:val="false"/>
                <w:sz w:val="20"/>
              </w:rPr>
              <w:t xml:space="preserve">150,000,000 are shares of common stock and </w:t>
            </w:r>
            <w:bookmarkStart w:id="386" w:name="xdx_903_eus-gaap--PreferredStockSharesAu"/>
            <w:bookmarkEnd w:id="386"/>
            <w:r>
              <w:rPr>
                <w:rFonts w:ascii="Times New Roman;Times;Serif" w:hAnsi="Times New Roman;Times;Serif"/>
                <w:b w:val="false"/>
                <w:i w:val="false"/>
                <w:caps w:val="false"/>
                <w:smallCaps w:val="false"/>
                <w:sz w:val="20"/>
              </w:rPr>
              <w:t>5,000,000 are shares of “blank check” preferred stock.</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w:t>
            </w:r>
            <w:bookmarkStart w:id="387" w:name="xdx_90A_eus-gaap--StockIssuedDuringPerio"/>
            <w:bookmarkEnd w:id="387"/>
            <w:r>
              <w:rPr>
                <w:rFonts w:ascii="Times New Roman;Times;Serif" w:hAnsi="Times New Roman;Times;Serif"/>
                <w:b w:val="false"/>
                <w:i w:val="false"/>
                <w:caps w:val="false"/>
                <w:smallCaps w:val="false"/>
                <w:sz w:val="20"/>
              </w:rPr>
              <w:t>3,303,618 restricted shares of the Company’s common stock to employees and directors. The shares to employees are subject to a three-year vesting period, with one-third of such awards vesting each year. The shares to directors are subject to a one-year vesting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shares was approximately $</w:t>
      </w:r>
      <w:bookmarkStart w:id="388" w:name="xdx_903_eus-gaap--StockIssuedDuringPerio"/>
      <w:bookmarkEnd w:id="388"/>
      <w:r>
        <w:rPr>
          <w:rFonts w:ascii="Times New Roman;Times;Serif" w:hAnsi="Times New Roman;Times;Serif"/>
          <w:b w:val="false"/>
          <w:i w:val="false"/>
          <w:caps w:val="false"/>
          <w:smallCaps w:val="false"/>
          <w:sz w:val="20"/>
        </w:rPr>
        <w:t>8.69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w:t>
      </w:r>
      <w:bookmarkStart w:id="389" w:name="xdx_90E_eus-gaap--StockIssuedDuringPerio"/>
      <w:bookmarkEnd w:id="389"/>
      <w:r>
        <w:rPr>
          <w:rFonts w:ascii="Times New Roman;Times;Serif" w:hAnsi="Times New Roman;Times;Serif"/>
          <w:b w:val="false"/>
          <w:i w:val="false"/>
          <w:caps w:val="false"/>
          <w:smallCaps w:val="false"/>
          <w:sz w:val="20"/>
        </w:rPr>
        <w:t>558,417 restricted share units of the Company’s common stock to the chief executive officer. The shares are subject to a three-year vesting period, with one-third of such awards vesting each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 units was approximately $</w:t>
      </w:r>
      <w:bookmarkStart w:id="390" w:name="xdx_904_eus-gaap--StockIssuedDuringPerio"/>
      <w:bookmarkEnd w:id="390"/>
      <w:r>
        <w:rPr>
          <w:rFonts w:ascii="Times New Roman;Times;Serif" w:hAnsi="Times New Roman;Times;Serif"/>
          <w:b w:val="false"/>
          <w:i w:val="false"/>
          <w:caps w:val="false"/>
          <w:smallCaps w:val="false"/>
          <w:sz w:val="20"/>
        </w:rPr>
        <w:t>1.54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to employees and directors options to purchase a total of </w:t>
      </w:r>
      <w:bookmarkStart w:id="391" w:name="xdx_90F_eus-gaap--ShareBasedCompensation"/>
      <w:bookmarkEnd w:id="391"/>
      <w:r>
        <w:rPr>
          <w:rFonts w:ascii="Times New Roman;Times;Serif" w:hAnsi="Times New Roman;Times;Serif"/>
          <w:b w:val="false"/>
          <w:i w:val="false"/>
          <w:caps w:val="false"/>
          <w:smallCaps w:val="false"/>
          <w:sz w:val="20"/>
        </w:rPr>
        <w:t>1,092,851 shares of the Company’s common stock. The options have exercise prices ranging from $</w:t>
      </w:r>
      <w:bookmarkStart w:id="392" w:name="xdx_902_eus-gaap--ShareBasedCompensation"/>
      <w:bookmarkEnd w:id="392"/>
      <w:r>
        <w:rPr>
          <w:rFonts w:ascii="Times New Roman;Times;Serif" w:hAnsi="Times New Roman;Times;Serif"/>
          <w:b w:val="false"/>
          <w:i w:val="false"/>
          <w:caps w:val="false"/>
          <w:smallCaps w:val="false"/>
          <w:sz w:val="20"/>
        </w:rPr>
        <w:t>2.24-$</w:t>
      </w:r>
      <w:bookmarkStart w:id="393" w:name="xdx_90B_eus-gaap--ShareBasedCompensation"/>
      <w:bookmarkEnd w:id="393"/>
      <w:r>
        <w:rPr>
          <w:rFonts w:ascii="Times New Roman;Times;Serif" w:hAnsi="Times New Roman;Times;Serif"/>
          <w:b w:val="false"/>
          <w:i w:val="false"/>
          <w:caps w:val="false"/>
          <w:smallCaps w:val="false"/>
          <w:sz w:val="20"/>
        </w:rPr>
        <w:t>2.79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calculating the fair value of the above options, the Company used the following assumptions: dividend yield of </w:t>
      </w:r>
      <w:bookmarkStart w:id="394" w:name="xdx_90E_eus-gaap--ShareBasedCompensation"/>
      <w:bookmarkEnd w:id="394"/>
      <w:r>
        <w:rPr>
          <w:rFonts w:ascii="Times New Roman;Times;Serif" w:hAnsi="Times New Roman;Times;Serif"/>
          <w:b w:val="false"/>
          <w:i w:val="false"/>
          <w:caps w:val="false"/>
          <w:smallCaps w:val="false"/>
          <w:sz w:val="20"/>
        </w:rPr>
        <w:t xml:space="preserve">0% and expected term of </w:t>
      </w:r>
      <w:bookmarkStart w:id="395" w:name="xdx_906_eus-gaap--SharebasedCompensation"/>
      <w:bookmarkEnd w:id="395"/>
      <w:r>
        <w:rPr>
          <w:rFonts w:ascii="Times New Roman;Times;Serif" w:hAnsi="Times New Roman;Times;Serif"/>
          <w:b w:val="false"/>
          <w:i w:val="false"/>
          <w:caps w:val="false"/>
          <w:smallCaps w:val="false"/>
          <w:sz w:val="20"/>
        </w:rPr>
        <w:t>5.5-</w:t>
      </w:r>
      <w:bookmarkStart w:id="396" w:name="xdx_903_eus-gaap--SharebasedCompensation"/>
      <w:bookmarkEnd w:id="396"/>
      <w:r>
        <w:rPr>
          <w:rFonts w:ascii="Times New Roman;Times;Serif" w:hAnsi="Times New Roman;Times;Serif"/>
          <w:b w:val="false"/>
          <w:i w:val="false"/>
          <w:caps w:val="false"/>
          <w:smallCaps w:val="false"/>
          <w:sz w:val="20"/>
        </w:rPr>
        <w:t xml:space="preserve">6.5 years; expected volatility ranging from </w:t>
      </w:r>
      <w:bookmarkStart w:id="397" w:name="xdx_909_eus-gaap--ShareBasedCompensation"/>
      <w:bookmarkEnd w:id="397"/>
      <w:r>
        <w:rPr>
          <w:rFonts w:ascii="Times New Roman;Times;Serif" w:hAnsi="Times New Roman;Times;Serif"/>
          <w:b w:val="false"/>
          <w:i w:val="false"/>
          <w:caps w:val="false"/>
          <w:smallCaps w:val="false"/>
          <w:sz w:val="20"/>
        </w:rPr>
        <w:t>75.74%-</w:t>
      </w:r>
      <w:bookmarkStart w:id="398" w:name="xdx_905_eus-gaap--ShareBasedCompensation"/>
      <w:bookmarkEnd w:id="398"/>
      <w:r>
        <w:rPr>
          <w:rFonts w:ascii="Times New Roman;Times;Serif" w:hAnsi="Times New Roman;Times;Serif"/>
          <w:b w:val="false"/>
          <w:i w:val="false"/>
          <w:caps w:val="false"/>
          <w:smallCaps w:val="false"/>
          <w:sz w:val="20"/>
        </w:rPr>
        <w:t xml:space="preserve">92.69%; and risk-free interest rate ranging from </w:t>
      </w:r>
      <w:bookmarkStart w:id="399" w:name="xdx_90B_eus-gaap--ShareBasedCompensation"/>
      <w:bookmarkEnd w:id="399"/>
      <w:r>
        <w:rPr>
          <w:rFonts w:ascii="Times New Roman;Times;Serif" w:hAnsi="Times New Roman;Times;Serif"/>
          <w:b w:val="false"/>
          <w:i w:val="false"/>
          <w:caps w:val="false"/>
          <w:smallCaps w:val="false"/>
          <w:sz w:val="20"/>
        </w:rPr>
        <w:t>3.89%-</w:t>
      </w:r>
      <w:bookmarkStart w:id="400" w:name="xdx_908_eus-gaap--ShareBasedCompensation"/>
      <w:bookmarkEnd w:id="400"/>
      <w:r>
        <w:rPr>
          <w:rFonts w:ascii="Times New Roman;Times;Serif" w:hAnsi="Times New Roman;Times;Serif"/>
          <w:b w:val="false"/>
          <w:i w:val="false"/>
          <w:caps w:val="false"/>
          <w:smallCaps w:val="false"/>
          <w:sz w:val="20"/>
        </w:rPr>
        <w:t>4.68%.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options, using the Black-Scholes option-pricing model, was approximately $</w:t>
      </w:r>
      <w:bookmarkStart w:id="401" w:name="xdx_906_eus-gaap--SharebasedCompensation"/>
      <w:bookmarkEnd w:id="401"/>
      <w:r>
        <w:rPr>
          <w:rFonts w:ascii="Times New Roman;Times;Serif" w:hAnsi="Times New Roman;Times;Serif"/>
          <w:b w:val="false"/>
          <w:i w:val="false"/>
          <w:caps w:val="false"/>
          <w:smallCaps w:val="false"/>
          <w:sz w:val="20"/>
        </w:rPr>
        <w:t>2.18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2" w:name="xdx_80D_eus-gaap--RelatedPartyTransactio"/>
      <w:bookmarkEnd w:id="402"/>
      <w:r>
        <w:rPr>
          <w:rFonts w:ascii="Times New Roman;Times;Serif" w:hAnsi="Times New Roman;Times;Serif"/>
          <w:b/>
          <w:i w:val="false"/>
          <w:caps w:val="false"/>
          <w:smallCaps w:val="false"/>
          <w:sz w:val="20"/>
        </w:rPr>
        <w:t xml:space="preserve">NOTE 7 – </w:t>
      </w:r>
      <w:bookmarkStart w:id="403" w:name="xdx_82E_znenzJuphGTd"/>
      <w:bookmarkEnd w:id="403"/>
      <w:r>
        <w:rPr>
          <w:rFonts w:ascii="Times New Roman;Times;Serif" w:hAnsi="Times New Roman;Times;Serif"/>
          <w:b/>
          <w:i w:val="false"/>
          <w:caps w:val="false"/>
          <w:smallCaps w:val="false"/>
          <w:sz w:val="20"/>
        </w:rPr>
        <w:t>RELATED PARTIES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and three months ended September 30, 2024, and 2025, a member of the immediate family of the CEO provided certain administrative services in connection with the Company’s expansion to the U.S. in the amount of $</w:t>
      </w:r>
      <w:bookmarkStart w:id="404" w:name="xdx_90A_eus-gaap--RelatedPartyTransactio"/>
      <w:bookmarkEnd w:id="404"/>
      <w:r>
        <w:rPr>
          <w:rFonts w:ascii="Times New Roman;Times;Serif" w:hAnsi="Times New Roman;Times;Serif"/>
          <w:b w:val="false"/>
          <w:i w:val="false"/>
          <w:caps w:val="false"/>
          <w:smallCaps w:val="false"/>
          <w:sz w:val="20"/>
        </w:rPr>
        <w:t>55 and $</w:t>
      </w:r>
      <w:bookmarkStart w:id="405" w:name="xdx_900_eus-gaap--RelatedPartyTransactio"/>
      <w:bookmarkEnd w:id="405"/>
      <w:r>
        <w:rPr>
          <w:rFonts w:ascii="Times New Roman;Times;Serif" w:hAnsi="Times New Roman;Times;Serif"/>
          <w:b w:val="false"/>
          <w:i w:val="false"/>
          <w:caps w:val="false"/>
          <w:smallCaps w:val="false"/>
          <w:sz w:val="20"/>
        </w:rPr>
        <w:t>25 thousand, for 2024, and $</w:t>
      </w:r>
      <w:bookmarkStart w:id="406" w:name="xdx_909_eus-gaap--RelatedPartyTransactio"/>
      <w:bookmarkEnd w:id="406"/>
      <w:r>
        <w:rPr>
          <w:rFonts w:ascii="Times New Roman;Times;Serif" w:hAnsi="Times New Roman;Times;Serif"/>
          <w:b w:val="false"/>
          <w:i w:val="false"/>
          <w:caps w:val="false"/>
          <w:smallCaps w:val="false"/>
          <w:sz w:val="20"/>
        </w:rPr>
        <w:t>56 and $</w:t>
      </w:r>
      <w:bookmarkStart w:id="407" w:name="xdx_90D_eus-gaap--RelatedPartyTransactio"/>
      <w:bookmarkEnd w:id="407"/>
      <w:r>
        <w:rPr>
          <w:rFonts w:ascii="Times New Roman;Times;Serif" w:hAnsi="Times New Roman;Times;Serif"/>
          <w:b w:val="false"/>
          <w:i w:val="false"/>
          <w:caps w:val="false"/>
          <w:smallCaps w:val="false"/>
          <w:sz w:val="20"/>
        </w:rPr>
        <w:t>8 thousand for 2025, respectively. In July 2025, the engagement with the related party was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8" w:name="xdx_80A_eus-gaap--EarningsPerShareTextBl"/>
      <w:bookmarkEnd w:id="408"/>
      <w:r>
        <w:rPr>
          <w:rFonts w:ascii="Times New Roman;Times;Serif" w:hAnsi="Times New Roman;Times;Serif"/>
          <w:b/>
          <w:i w:val="false"/>
          <w:caps w:val="false"/>
          <w:smallCaps w:val="false"/>
          <w:sz w:val="20"/>
        </w:rPr>
        <w:t xml:space="preserve">NOTE 8 - </w:t>
      </w:r>
      <w:bookmarkStart w:id="409" w:name="xdx_822_zbtRW8HJgP0a"/>
      <w:bookmarkEnd w:id="409"/>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common stock related to outstanding options, warrants, unvested restricted stock, unvested restricted stock units and Series C preferred stock, which were excluded from the calculations of diluted loss per share were </w:t>
      </w:r>
      <w:bookmarkStart w:id="410" w:name="xdx_90A_eus-gaap--AntidilutiveSecurities"/>
      <w:bookmarkStart w:id="411" w:name="xdx_90A_eus-gaap--AntidilutiveSecurities"/>
      <w:bookmarkEnd w:id="410"/>
      <w:bookmarkEnd w:id="411"/>
      <w:r>
        <w:rPr>
          <w:rFonts w:ascii="Times New Roman;Times;Serif" w:hAnsi="Times New Roman;Times;Serif"/>
          <w:b w:val="false"/>
          <w:i w:val="false"/>
          <w:caps w:val="false"/>
          <w:smallCaps w:val="false"/>
          <w:sz w:val="20"/>
        </w:rPr>
        <w:t xml:space="preserve">37,695,155 and </w:t>
      </w:r>
      <w:bookmarkStart w:id="412" w:name="xdx_905_eus-gaap--AntidilutiveSecurities"/>
      <w:bookmarkStart w:id="413" w:name="xdx_907_eus-gaap--AntidilutiveSecurities"/>
      <w:bookmarkEnd w:id="412"/>
      <w:bookmarkEnd w:id="413"/>
      <w:r>
        <w:rPr>
          <w:rFonts w:ascii="Times New Roman;Times;Serif" w:hAnsi="Times New Roman;Times;Serif"/>
          <w:b w:val="false"/>
          <w:i w:val="false"/>
          <w:caps w:val="false"/>
          <w:smallCaps w:val="false"/>
          <w:sz w:val="20"/>
        </w:rPr>
        <w:t xml:space="preserve">48,619,222 for the nine and three-month periods ended September 30, 2025 and 2024, respectively. This amount includes </w:t>
      </w:r>
      <w:bookmarkStart w:id="414" w:name="xdx_90B_eus-gaap--ShareBasedCompensation"/>
      <w:bookmarkEnd w:id="414"/>
      <w:r>
        <w:rPr>
          <w:rFonts w:ascii="Times New Roman;Times;Serif" w:hAnsi="Times New Roman;Times;Serif"/>
          <w:b w:val="false"/>
          <w:i w:val="false"/>
          <w:caps w:val="false"/>
          <w:smallCaps w:val="false"/>
          <w:sz w:val="20"/>
        </w:rPr>
        <w:t xml:space="preserve">5,385,272 and </w:t>
      </w:r>
      <w:bookmarkStart w:id="415" w:name="xdx_90D_eus-gaap--ShareBasedCompensation"/>
      <w:bookmarkEnd w:id="415"/>
      <w:r>
        <w:rPr>
          <w:rFonts w:ascii="Times New Roman;Times;Serif" w:hAnsi="Times New Roman;Times;Serif"/>
          <w:b w:val="false"/>
          <w:i w:val="false"/>
          <w:caps w:val="false"/>
          <w:smallCaps w:val="false"/>
          <w:sz w:val="20"/>
        </w:rPr>
        <w:t>3,979,486 of unvested restricted stock included in the number of issued and outstanding shares for the nine and three-month periods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6" w:name="xdx_89F_eus-gaap--ScheduleOfWeightedAver"/>
      <w:bookmarkEnd w:id="416"/>
      <w:r>
        <w:rPr>
          <w:rFonts w:ascii="Times New Roman;Times;Serif" w:hAnsi="Times New Roman;Times;Serif"/>
          <w:b w:val="false"/>
          <w:i w:val="false"/>
          <w:caps w:val="false"/>
          <w:smallCaps w:val="false"/>
          <w:sz w:val="20"/>
        </w:rPr>
        <w:t>For the nine and three months ended September 30, 2025 and 2024, the weighted average number of ordinary shares used in computing net loss per share - basic and diluted was as follows:</w:t>
      </w:r>
    </w:p>
    <w:p>
      <w:pPr>
        <w:pStyle w:val="TextBody"/>
        <w:bidi w:val="0"/>
        <w:spacing w:before="0" w:after="0"/>
        <w:ind w:left="0" w:right="0" w:hanging="0"/>
        <w:jc w:val="both"/>
        <w:rPr>
          <w:caps w:val="false"/>
          <w:smallCaps w:val="false"/>
        </w:rPr>
      </w:pPr>
      <w:r>
        <w:rPr>
          <w:caps w:val="false"/>
          <w:smallCaps w:val="false"/>
        </w:rPr>
        <w:t> </w:t>
      </w:r>
      <w:bookmarkStart w:id="417" w:name="xdx_8B5_zscaNJ4U8TP"/>
      <w:bookmarkEnd w:id="417"/>
      <w:r>
        <w:rPr>
          <w:rFonts w:ascii="Times New Roman;Times;Serif" w:hAnsi="Times New Roman;Times;Serif"/>
          <w:b w:val="false"/>
          <w:i w:val="false"/>
          <w:caps w:val="false"/>
          <w:smallCaps w:val="false"/>
          <w:sz w:val="20"/>
        </w:rPr>
        <w:t>SCHEDULE OF WEIGHTED AVERAGE NUMBER OF SHARES</w:t>
      </w:r>
    </w:p>
    <w:tbl>
      <w:tblPr>
        <w:tblW w:w="10205" w:type="dxa"/>
        <w:jc w:val="left"/>
        <w:tblInd w:w="0" w:type="dxa"/>
        <w:tblLayout w:type="fixed"/>
        <w:tblCellMar>
          <w:top w:w="0" w:type="dxa"/>
          <w:left w:w="0" w:type="dxa"/>
          <w:bottom w:w="0" w:type="dxa"/>
          <w:right w:w="0" w:type="dxa"/>
        </w:tblCellMar>
      </w:tblPr>
      <w:tblGrid>
        <w:gridCol w:w="5070"/>
        <w:gridCol w:w="60"/>
        <w:gridCol w:w="60"/>
        <w:gridCol w:w="1100"/>
        <w:gridCol w:w="60"/>
        <w:gridCol w:w="60"/>
        <w:gridCol w:w="60"/>
        <w:gridCol w:w="1100"/>
        <w:gridCol w:w="60"/>
        <w:gridCol w:w="60"/>
        <w:gridCol w:w="60"/>
        <w:gridCol w:w="1100"/>
        <w:gridCol w:w="60"/>
        <w:gridCol w:w="60"/>
        <w:gridCol w:w="60"/>
        <w:gridCol w:w="1100"/>
        <w:gridCol w:w="75"/>
      </w:tblGrid>
      <w:tr>
        <w:trPr/>
        <w:tc>
          <w:tcPr>
            <w:tcW w:w="5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8" w:name="xdx_493_20250701__20250930_zjT9D88vxHl4"/>
            <w:bookmarkEnd w:id="418"/>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B_20240701__20240930_zEJuM0u9omAb"/>
            <w:bookmarkEnd w:id="419"/>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B_20250101__20250930_z6pywEV1Wemk"/>
            <w:bookmarkEnd w:id="420"/>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1" w:name="xdx_491_20240101__20240930_zkj7AvCcFPUf"/>
            <w:bookmarkEnd w:id="421"/>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422" w:name="xdx_400_eus-gaap--WeightedAverageNumberO"/>
            <w:bookmarkEnd w:id="422"/>
          </w:p>
        </w:tc>
      </w:tr>
      <w:tr>
        <w:trPr/>
        <w:tc>
          <w:tcPr>
            <w:tcW w:w="5070" w:type="dxa"/>
            <w:tcBorders/>
            <w:shd w:fill="CCEEFF" w:val="clear"/>
            <w:vAlign w:val="center"/>
          </w:tcPr>
          <w:p>
            <w:pPr>
              <w:pStyle w:val="TableContents"/>
              <w:bidi w:val="0"/>
              <w:spacing w:before="0" w:after="283"/>
              <w:jc w:val="left"/>
              <w:rPr/>
            </w:pPr>
            <w:r>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33,741,698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21,633,309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27,560,829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20,048,335</w:t>
            </w:r>
          </w:p>
        </w:tc>
        <w:tc>
          <w:tcPr>
            <w:tcW w:w="75" w:type="dxa"/>
            <w:tcBorders/>
            <w:shd w:fill="CCEEFF" w:val="clear"/>
            <w:vAlign w:val="center"/>
          </w:tcPr>
          <w:p>
            <w:pPr>
              <w:pStyle w:val="TableContents"/>
              <w:bidi w:val="0"/>
              <w:spacing w:before="0" w:after="283"/>
              <w:jc w:val="left"/>
              <w:rPr/>
            </w:pPr>
            <w:r>
              <w:rPr/>
              <w:t> </w:t>
            </w:r>
            <w:bookmarkStart w:id="423" w:name="xdx_402_eus-gaap--WeightedAverageNumberO"/>
            <w:bookmarkEnd w:id="423"/>
          </w:p>
        </w:tc>
      </w:tr>
      <w:tr>
        <w:trPr/>
        <w:tc>
          <w:tcPr>
            <w:tcW w:w="5070" w:type="dxa"/>
            <w:tcBorders/>
            <w:shd w:fill="FFFFFF" w:val="clear"/>
            <w:vAlign w:val="center"/>
          </w:tcPr>
          <w:p>
            <w:pPr>
              <w:pStyle w:val="TableContents"/>
              <w:bidi w:val="0"/>
              <w:spacing w:before="0" w:after="283"/>
              <w:jc w:val="left"/>
              <w:rPr/>
            </w:pPr>
            <w:r>
              <w:rPr/>
              <w:t>Weighted average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1,121,678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536,606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931,022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348,383</w:t>
            </w:r>
          </w:p>
        </w:tc>
        <w:tc>
          <w:tcPr>
            <w:tcW w:w="75" w:type="dxa"/>
            <w:tcBorders/>
            <w:shd w:fill="FFFFFF" w:val="clear"/>
            <w:vAlign w:val="center"/>
          </w:tcPr>
          <w:p>
            <w:pPr>
              <w:pStyle w:val="TableContents"/>
              <w:bidi w:val="0"/>
              <w:spacing w:before="0" w:after="283"/>
              <w:jc w:val="left"/>
              <w:rPr/>
            </w:pPr>
            <w:r>
              <w:rPr/>
              <w:t> </w:t>
            </w:r>
            <w:bookmarkStart w:id="424" w:name="xdx_40B_ecustom--WeightedAveragePrefunde"/>
            <w:bookmarkEnd w:id="424"/>
          </w:p>
        </w:tc>
      </w:tr>
      <w:tr>
        <w:trPr/>
        <w:tc>
          <w:tcPr>
            <w:tcW w:w="5070" w:type="dxa"/>
            <w:tcBorders/>
            <w:shd w:fill="CCEEFF" w:val="clear"/>
            <w:vAlign w:val="center"/>
          </w:tcPr>
          <w:p>
            <w:pPr>
              <w:pStyle w:val="TableContents"/>
              <w:bidi w:val="0"/>
              <w:spacing w:before="0" w:after="283"/>
              <w:jc w:val="left"/>
              <w:rPr/>
            </w:pPr>
            <w:r>
              <w:rPr/>
              <w:t>Weighted average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38,603,125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26,199,497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29,753,517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19,016,286</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pPr>
            <w:r>
              <w:rPr/>
              <w:t>Total Weighted average number of ordinary shares used in computing 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25" w:name="xdx_904_eus-gaap--WeightedAverageNumberO"/>
            <w:bookmarkStart w:id="426" w:name="xdx_906_eus-gaap--WeightedAverageNumberO"/>
            <w:bookmarkEnd w:id="425"/>
            <w:bookmarkEnd w:id="426"/>
            <w:r>
              <w:rPr/>
              <w:t>73,466,501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27" w:name="xdx_900_eus-gaap--WeightedAverageNumberO"/>
            <w:bookmarkStart w:id="428" w:name="xdx_90C_eus-gaap--WeightedAverageNumberO"/>
            <w:bookmarkEnd w:id="427"/>
            <w:bookmarkEnd w:id="428"/>
            <w:r>
              <w:rPr/>
              <w:t>48,369,412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29" w:name="xdx_90E_eus-gaap--WeightedAverageNumberO"/>
            <w:bookmarkStart w:id="430" w:name="xdx_902_eus-gaap--WeightedAverageNumberO"/>
            <w:bookmarkEnd w:id="429"/>
            <w:bookmarkEnd w:id="430"/>
            <w:r>
              <w:rPr/>
              <w:t>58,245,368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31" w:name="xdx_900_eus-gaap--WeightedAverageNumberO"/>
            <w:bookmarkStart w:id="432" w:name="xdx_90E_eus-gaap--WeightedAverageNumberO"/>
            <w:bookmarkEnd w:id="431"/>
            <w:bookmarkEnd w:id="432"/>
            <w:r>
              <w:rPr/>
              <w:t>39,413,004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3" w:name="xdx_8A3_zQ4jHV7G4dc5"/>
      <w:bookmarkEnd w:id="43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434" w:name="xdx_804_eus-gaap--LesseeOperatingLeasesT"/>
      <w:bookmarkEnd w:id="434"/>
      <w:r>
        <w:rPr>
          <w:rFonts w:ascii="Times New Roman;Times;Serif" w:hAnsi="Times New Roman;Times;Serif"/>
          <w:b/>
          <w:i w:val="false"/>
          <w:caps w:val="false"/>
          <w:smallCaps w:val="false"/>
          <w:sz w:val="20"/>
          <w:shd w:fill="FFFFFF" w:val="clear"/>
        </w:rPr>
        <w:t xml:space="preserve">NOTE 9 – </w:t>
      </w:r>
      <w:bookmarkStart w:id="435" w:name="xdx_821_zirIvIjvAdld"/>
      <w:bookmarkEnd w:id="435"/>
      <w:r>
        <w:rPr>
          <w:rFonts w:ascii="Times New Roman;Times;Serif" w:hAnsi="Times New Roman;Times;Serif"/>
          <w:b/>
          <w:i w:val="false"/>
          <w:caps w:val="false"/>
          <w:smallCaps w:val="false"/>
          <w:sz w:val="20"/>
          <w:shd w:fill="FFFFFF" w:val="clear"/>
        </w:rPr>
        <w:t>LEASE AGREEMENTS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39"/>
        <w:gridCol w:w="9991"/>
      </w:tblGrid>
      <w:tr>
        <w:trPr/>
        <w:tc>
          <w:tcPr>
            <w:tcW w:w="75"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2025, the Company took possession of Suite 280 at its U.S. headquarters in Miami, Florida, following the landlord’s completion of construction. This date represents the commencement of the lease for Suite 280, in accordance with the terms of the U.S. Lease. In connection with the commencement, the Company recognized an increase of </w:t>
            </w:r>
            <w:bookmarkStart w:id="436" w:name="xdx_90E_eus-gaap--OperatingLeaseLiabilit"/>
            <w:bookmarkStart w:id="437" w:name="xdx_906_eus-gaap--OperatingLeaseRightOfU"/>
            <w:bookmarkEnd w:id="436"/>
            <w:bookmarkEnd w:id="437"/>
            <w:r>
              <w:rPr>
                <w:rFonts w:ascii="Times New Roman;Times;Serif" w:hAnsi="Times New Roman;Times;Serif"/>
                <w:b w:val="false"/>
                <w:i w:val="false"/>
                <w:caps w:val="false"/>
                <w:smallCaps w:val="false"/>
                <w:sz w:val="20"/>
              </w:rPr>
              <w:t>302 thousand dollars in both operating lease right-of-use assets and operating lease liabilities.</w:t>
            </w:r>
          </w:p>
        </w:tc>
      </w:tr>
      <w:tr>
        <w:trPr/>
        <w:tc>
          <w:tcPr>
            <w:tcW w:w="75"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2025, the Company amended the Israeli Lease, extending the lease term through December 31, 2028, and leasing additional space within the facility. The amendment resulted in an increase of </w:t>
            </w:r>
            <w:bookmarkStart w:id="438" w:name="xdx_90D_eus-gaap--OperatingLeaseLiabilit"/>
            <w:bookmarkStart w:id="439" w:name="xdx_90D_eus-gaap--OperatingLeaseRightOfU"/>
            <w:bookmarkEnd w:id="438"/>
            <w:bookmarkEnd w:id="439"/>
            <w:r>
              <w:rPr>
                <w:rFonts w:ascii="Times New Roman;Times;Serif" w:hAnsi="Times New Roman;Times;Serif"/>
                <w:b w:val="false"/>
                <w:i w:val="false"/>
                <w:caps w:val="false"/>
                <w:smallCaps w:val="false"/>
                <w:sz w:val="20"/>
              </w:rPr>
              <w:t>692 thousand dollars to the Company’s operating lease right-of-use assets and lease liabilities to reflect the extended lease term and additional leased area.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0" w:name="xdx_80A_eus-gaap--FinancialInstrumentsDi"/>
      <w:bookmarkEnd w:id="440"/>
      <w:r>
        <w:rPr>
          <w:rFonts w:ascii="Times New Roman;Times;Serif" w:hAnsi="Times New Roman;Times;Serif"/>
          <w:b/>
          <w:i w:val="false"/>
          <w:caps w:val="false"/>
          <w:smallCaps w:val="false"/>
          <w:sz w:val="20"/>
        </w:rPr>
        <w:t xml:space="preserve">NOTE 10 - </w:t>
      </w:r>
      <w:bookmarkStart w:id="441" w:name="xdx_828_zyfoyceJq1U4"/>
      <w:bookmarkEnd w:id="441"/>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15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approximate their fair value either because these amounts are presented at fair value, due to the relatively short-term maturities of certain instruments or they are measured using interest rates close to prevailing market rates.</w:t>
      </w:r>
    </w:p>
    <w:p>
      <w:pPr>
        <w:pStyle w:val="TextBody"/>
        <w:bidi w:val="0"/>
        <w:spacing w:before="0" w:after="0"/>
        <w:ind w:left="971" w:right="0" w:firstLine="22"/>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allowance for expected credit loss was immaterial.</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2" w:name="xdx_80A_eus-gaap--InventoryDisclosureTex"/>
      <w:bookmarkEnd w:id="442"/>
      <w:r>
        <w:rPr>
          <w:rFonts w:ascii="Times New Roman;Times;Serif" w:hAnsi="Times New Roman;Times;Serif"/>
          <w:b/>
          <w:i w:val="false"/>
          <w:caps w:val="false"/>
          <w:smallCaps w:val="false"/>
          <w:sz w:val="20"/>
        </w:rPr>
        <w:t xml:space="preserve">NOTE 11- </w:t>
      </w:r>
      <w:bookmarkStart w:id="443" w:name="xdx_82C_z2d3h6FZz95c"/>
      <w:bookmarkEnd w:id="443"/>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bookmarkStart w:id="444" w:name="xdx_89F_eus-gaap--ScheduleOfInventoryCur"/>
      <w:bookmarkEnd w:id="444"/>
      <w:r>
        <w:rPr>
          <w:caps w:val="false"/>
          <w:smallCaps w:val="false"/>
        </w:rPr>
        <w:t> </w:t>
      </w:r>
      <w:bookmarkStart w:id="445" w:name="xdx_8BA_z5woSDOJlqSl"/>
      <w:bookmarkEnd w:id="445"/>
      <w:r>
        <w:rPr>
          <w:rFonts w:ascii="Times New Roman;Times;Serif" w:hAnsi="Times New Roman;Times;Serif"/>
          <w:b w:val="false"/>
          <w:i w:val="false"/>
          <w:caps w:val="false"/>
          <w:smallCaps w:val="false"/>
          <w:sz w:val="20"/>
        </w:rPr>
        <w:t>SCHEDULE OF INVENTORIES</w:t>
      </w:r>
    </w:p>
    <w:tbl>
      <w:tblPr>
        <w:tblW w:w="5760" w:type="dxa"/>
        <w:jc w:val="left"/>
        <w:tblInd w:w="0" w:type="dxa"/>
        <w:tblLayout w:type="fixed"/>
        <w:tblCellMar>
          <w:top w:w="0" w:type="dxa"/>
          <w:left w:w="0" w:type="dxa"/>
          <w:bottom w:w="0" w:type="dxa"/>
          <w:right w:w="0" w:type="dxa"/>
        </w:tblCellMar>
      </w:tblPr>
      <w:tblGrid>
        <w:gridCol w:w="2615"/>
        <w:gridCol w:w="60"/>
        <w:gridCol w:w="295"/>
        <w:gridCol w:w="1180"/>
        <w:gridCol w:w="60"/>
        <w:gridCol w:w="60"/>
        <w:gridCol w:w="283"/>
        <w:gridCol w:w="1132"/>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A_20250930_z8WrVbWOzxBg"/>
            <w:bookmarkEnd w:id="446"/>
          </w:p>
        </w:tc>
        <w:tc>
          <w:tcPr>
            <w:tcW w:w="1475"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7" w:name="xdx_49A_20241231_zfjb9dbtS6w4"/>
            <w:bookmarkEnd w:id="447"/>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448" w:name="xdx_40E_eus-gaap--InventoryFinishedGoods"/>
            <w:bookmarkEnd w:id="448"/>
          </w:p>
        </w:tc>
      </w:tr>
      <w:tr>
        <w:trPr/>
        <w:tc>
          <w:tcPr>
            <w:tcW w:w="261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bookmarkStart w:id="449" w:name="xdx_40D_eus-gaap--InventoryWorkInProcess"/>
            <w:bookmarkEnd w:id="449"/>
          </w:p>
        </w:tc>
      </w:tr>
      <w:tr>
        <w:trPr/>
        <w:tc>
          <w:tcPr>
            <w:tcW w:w="261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638</w:t>
            </w:r>
          </w:p>
        </w:tc>
        <w:tc>
          <w:tcPr>
            <w:tcW w:w="75" w:type="dxa"/>
            <w:tcBorders/>
            <w:shd w:fill="FFFFFF" w:val="clear"/>
            <w:vAlign w:val="center"/>
          </w:tcPr>
          <w:p>
            <w:pPr>
              <w:pStyle w:val="TableContents"/>
              <w:bidi w:val="0"/>
              <w:spacing w:before="0" w:after="283"/>
              <w:jc w:val="left"/>
              <w:rPr/>
            </w:pPr>
            <w:r>
              <w:rPr/>
              <w:t> </w:t>
            </w:r>
            <w:bookmarkStart w:id="450" w:name="xdx_401_eus-gaap--InventoryRawMaterialsA"/>
            <w:bookmarkEnd w:id="450"/>
          </w:p>
        </w:tc>
      </w:tr>
      <w:tr>
        <w:trPr/>
        <w:tc>
          <w:tcPr>
            <w:tcW w:w="2615" w:type="dxa"/>
            <w:tcBorders/>
            <w:shd w:fill="CCEEFF" w:val="clear"/>
            <w:vAlign w:val="center"/>
          </w:tcPr>
          <w:p>
            <w:pPr>
              <w:pStyle w:val="TableContents"/>
              <w:bidi w:val="0"/>
              <w:spacing w:before="0" w:after="283"/>
              <w:jc w:val="left"/>
              <w:rPr/>
            </w:pPr>
            <w:r>
              <w:rPr/>
              <w:t>Raw materials and supplies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2,298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1,914</w:t>
            </w:r>
          </w:p>
        </w:tc>
        <w:tc>
          <w:tcPr>
            <w:tcW w:w="75" w:type="dxa"/>
            <w:tcBorders/>
            <w:shd w:fill="CCEEFF" w:val="clear"/>
            <w:vAlign w:val="center"/>
          </w:tcPr>
          <w:p>
            <w:pPr>
              <w:pStyle w:val="TableContents"/>
              <w:bidi w:val="0"/>
              <w:spacing w:before="0" w:after="283"/>
              <w:jc w:val="left"/>
              <w:rPr/>
            </w:pPr>
            <w:r>
              <w:rPr/>
              <w:t> </w:t>
            </w:r>
            <w:bookmarkStart w:id="451" w:name="xdx_40F_eus-gaap--InventoryNet_iTI_pn3n3"/>
            <w:bookmarkEnd w:id="451"/>
          </w:p>
        </w:tc>
      </w:tr>
      <w:tr>
        <w:trPr/>
        <w:tc>
          <w:tcPr>
            <w:tcW w:w="2615" w:type="dxa"/>
            <w:tcBorders/>
            <w:shd w:fill="FFFFFF" w:val="clear"/>
            <w:vAlign w:val="center"/>
          </w:tcPr>
          <w:p>
            <w:pPr>
              <w:pStyle w:val="TableContents"/>
              <w:bidi w:val="0"/>
              <w:spacing w:before="0" w:after="283"/>
              <w:jc w:val="right"/>
              <w:rPr/>
            </w:pPr>
            <w:r>
              <w:rPr>
                <w:rFonts w:ascii="Times New Roman;Times;Serif" w:hAnsi="Times New Roman;Times;Serif"/>
                <w:sz w:val="20"/>
              </w:rPr>
              <w:t>Total inventory</w:t>
            </w: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pPr>
            <w:r>
              <w:rPr/>
              <w:t>3,607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2,570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2" w:name="xdx_8AA_zAUAHIq1S3Sk"/>
      <w:bookmarkEnd w:id="45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3" w:name="xdx_800_eus-gaap--AccountsPayableAndAccr"/>
      <w:bookmarkEnd w:id="453"/>
      <w:r>
        <w:rPr>
          <w:rFonts w:ascii="Times New Roman;Times;Serif" w:hAnsi="Times New Roman;Times;Serif"/>
          <w:b/>
          <w:i w:val="false"/>
          <w:caps w:val="false"/>
          <w:smallCaps w:val="false"/>
          <w:sz w:val="20"/>
        </w:rPr>
        <w:t xml:space="preserve">NOTE 12 - </w:t>
      </w:r>
      <w:bookmarkStart w:id="454" w:name="xdx_822_zlMm2SAo8TMl"/>
      <w:bookmarkEnd w:id="454"/>
      <w:r>
        <w:rPr>
          <w:rFonts w:ascii="Times New Roman;Times;Serif" w:hAnsi="Times New Roman;Times;Serif"/>
          <w:b/>
          <w:i w:val="false"/>
          <w:caps w:val="false"/>
          <w:smallCaps w:val="false"/>
          <w:sz w:val="20"/>
        </w:rPr>
        <w:t>ACCOUNTS PAYABLE AND ACCRUALS - OTHER:</w:t>
      </w:r>
    </w:p>
    <w:p>
      <w:pPr>
        <w:pStyle w:val="TextBody"/>
        <w:bidi w:val="0"/>
        <w:spacing w:before="0" w:after="0"/>
        <w:ind w:left="0" w:right="0" w:hanging="0"/>
        <w:jc w:val="left"/>
        <w:rPr>
          <w:caps w:val="false"/>
          <w:smallCaps w:val="false"/>
        </w:rPr>
      </w:pPr>
      <w:bookmarkStart w:id="455" w:name="xdx_893_eus-gaap--ScheduleOfAccountsPaya"/>
      <w:bookmarkEnd w:id="455"/>
      <w:r>
        <w:rPr>
          <w:caps w:val="false"/>
          <w:smallCaps w:val="false"/>
        </w:rPr>
        <w:t> </w:t>
      </w:r>
      <w:bookmarkStart w:id="456" w:name="xdx_8B8_zRAG10ORmFP4"/>
      <w:bookmarkEnd w:id="456"/>
      <w:r>
        <w:rPr>
          <w:rFonts w:ascii="Times New Roman;Times;Serif" w:hAnsi="Times New Roman;Times;Serif"/>
          <w:b w:val="false"/>
          <w:i w:val="false"/>
          <w:caps w:val="false"/>
          <w:smallCaps w:val="false"/>
          <w:sz w:val="20"/>
        </w:rPr>
        <w:t>SCHEDULE OF ACCOUNTS PAYABLE AND ACCRUALS - OTHER</w:t>
      </w:r>
    </w:p>
    <w:tbl>
      <w:tblPr>
        <w:tblW w:w="6688" w:type="dxa"/>
        <w:jc w:val="left"/>
        <w:tblInd w:w="0" w:type="dxa"/>
        <w:tblLayout w:type="fixed"/>
        <w:tblCellMar>
          <w:top w:w="0" w:type="dxa"/>
          <w:left w:w="0" w:type="dxa"/>
          <w:bottom w:w="0" w:type="dxa"/>
          <w:right w:w="0" w:type="dxa"/>
        </w:tblCellMar>
      </w:tblPr>
      <w:tblGrid>
        <w:gridCol w:w="3545"/>
        <w:gridCol w:w="60"/>
        <w:gridCol w:w="141"/>
        <w:gridCol w:w="1333"/>
        <w:gridCol w:w="60"/>
        <w:gridCol w:w="60"/>
        <w:gridCol w:w="136"/>
        <w:gridCol w:w="1278"/>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94_20250930_zgi9dnlUYIo1"/>
            <w:bookmarkEnd w:id="457"/>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8" w:name="xdx_49A_20241231_zfw6qXosgRW"/>
            <w:bookmarkEnd w:id="458"/>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459" w:name="xdx_40F_eus-gaap--AccruedSalariesCurrent"/>
            <w:bookmarkEnd w:id="459"/>
          </w:p>
        </w:tc>
      </w:tr>
      <w:tr>
        <w:trPr/>
        <w:tc>
          <w:tcPr>
            <w:tcW w:w="3545" w:type="dxa"/>
            <w:tcBorders/>
            <w:shd w:fill="CCEEFF" w:val="clear"/>
            <w:vAlign w:val="center"/>
          </w:tcPr>
          <w:p>
            <w:pPr>
              <w:pStyle w:val="TableContents"/>
              <w:bidi w:val="0"/>
              <w:spacing w:before="0" w:after="283"/>
              <w:jc w:val="left"/>
              <w:rPr/>
            </w:pPr>
            <w:r>
              <w:rPr/>
              <w:t>Employees and employee institutions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5,357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3,414</w:t>
            </w:r>
          </w:p>
        </w:tc>
        <w:tc>
          <w:tcPr>
            <w:tcW w:w="75" w:type="dxa"/>
            <w:tcBorders/>
            <w:shd w:fill="CCEEFF" w:val="clear"/>
            <w:vAlign w:val="center"/>
          </w:tcPr>
          <w:p>
            <w:pPr>
              <w:pStyle w:val="TableContents"/>
              <w:bidi w:val="0"/>
              <w:spacing w:before="0" w:after="283"/>
              <w:jc w:val="left"/>
              <w:rPr/>
            </w:pPr>
            <w:r>
              <w:rPr/>
              <w:t> </w:t>
            </w:r>
            <w:bookmarkStart w:id="460" w:name="xdx_40C_eus-gaap--AccruedVacationCurrent"/>
            <w:bookmarkEnd w:id="460"/>
          </w:p>
        </w:tc>
      </w:tr>
      <w:tr>
        <w:trPr/>
        <w:tc>
          <w:tcPr>
            <w:tcW w:w="3545" w:type="dxa"/>
            <w:tcBorders/>
            <w:shd w:fill="FFFFFF" w:val="clear"/>
            <w:vAlign w:val="center"/>
          </w:tcPr>
          <w:p>
            <w:pPr>
              <w:pStyle w:val="TableContents"/>
              <w:bidi w:val="0"/>
              <w:spacing w:before="0" w:after="283"/>
              <w:jc w:val="left"/>
              <w:rPr/>
            </w:pPr>
            <w:r>
              <w:rPr/>
              <w:t>Accrued vacation and recreation pay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369</w:t>
            </w:r>
          </w:p>
        </w:tc>
        <w:tc>
          <w:tcPr>
            <w:tcW w:w="75" w:type="dxa"/>
            <w:tcBorders/>
            <w:shd w:fill="FFFFFF" w:val="clear"/>
            <w:vAlign w:val="center"/>
          </w:tcPr>
          <w:p>
            <w:pPr>
              <w:pStyle w:val="TableContents"/>
              <w:bidi w:val="0"/>
              <w:spacing w:before="0" w:after="283"/>
              <w:jc w:val="left"/>
              <w:rPr/>
            </w:pPr>
            <w:r>
              <w:rPr/>
              <w:t> </w:t>
            </w:r>
            <w:bookmarkStart w:id="461" w:name="xdx_403_eus-gaap--AccruedLiabilitiesCurr"/>
            <w:bookmarkEnd w:id="461"/>
          </w:p>
        </w:tc>
      </w:tr>
      <w:tr>
        <w:trPr/>
        <w:tc>
          <w:tcPr>
            <w:tcW w:w="354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1,325</w:t>
            </w:r>
          </w:p>
        </w:tc>
        <w:tc>
          <w:tcPr>
            <w:tcW w:w="75" w:type="dxa"/>
            <w:tcBorders/>
            <w:shd w:fill="CCEEFF" w:val="clear"/>
            <w:vAlign w:val="center"/>
          </w:tcPr>
          <w:p>
            <w:pPr>
              <w:pStyle w:val="TableContents"/>
              <w:bidi w:val="0"/>
              <w:spacing w:before="0" w:after="283"/>
              <w:jc w:val="left"/>
              <w:rPr/>
            </w:pPr>
            <w:r>
              <w:rPr/>
              <w:t> </w:t>
            </w:r>
            <w:bookmarkStart w:id="462" w:name="xdx_400_ecustom--ClinicalTrialAccrualCur"/>
            <w:bookmarkEnd w:id="462"/>
          </w:p>
        </w:tc>
      </w:tr>
      <w:tr>
        <w:trPr/>
        <w:tc>
          <w:tcPr>
            <w:tcW w:w="3545" w:type="dxa"/>
            <w:tcBorders/>
            <w:shd w:fill="FFFFFF" w:val="clear"/>
            <w:vAlign w:val="center"/>
          </w:tcPr>
          <w:p>
            <w:pPr>
              <w:pStyle w:val="TableContents"/>
              <w:bidi w:val="0"/>
              <w:spacing w:before="0" w:after="283"/>
              <w:jc w:val="left"/>
              <w:rPr/>
            </w:pPr>
            <w:r>
              <w:rPr/>
              <w:t>Clinical trials accrual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519</w:t>
            </w:r>
          </w:p>
        </w:tc>
        <w:tc>
          <w:tcPr>
            <w:tcW w:w="75" w:type="dxa"/>
            <w:tcBorders/>
            <w:shd w:fill="FFFFFF" w:val="clear"/>
            <w:vAlign w:val="center"/>
          </w:tcPr>
          <w:p>
            <w:pPr>
              <w:pStyle w:val="TableContents"/>
              <w:bidi w:val="0"/>
              <w:spacing w:before="0" w:after="283"/>
              <w:jc w:val="left"/>
              <w:rPr/>
            </w:pPr>
            <w:r>
              <w:rPr/>
              <w:t> </w:t>
            </w:r>
            <w:bookmarkStart w:id="463" w:name="xdx_409_ecustom--AccruedOperatingLeaseLi"/>
            <w:bookmarkEnd w:id="463"/>
          </w:p>
        </w:tc>
      </w:tr>
      <w:tr>
        <w:trPr/>
        <w:tc>
          <w:tcPr>
            <w:tcW w:w="3545" w:type="dxa"/>
            <w:tcBorders/>
            <w:shd w:fill="CCEEFF" w:val="clear"/>
            <w:vAlign w:val="center"/>
          </w:tcPr>
          <w:p>
            <w:pPr>
              <w:pStyle w:val="TableContents"/>
              <w:bidi w:val="0"/>
              <w:spacing w:before="0" w:after="283"/>
              <w:jc w:val="left"/>
              <w:rPr/>
            </w:pPr>
            <w:r>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542</w:t>
            </w:r>
          </w:p>
        </w:tc>
        <w:tc>
          <w:tcPr>
            <w:tcW w:w="75" w:type="dxa"/>
            <w:tcBorders/>
            <w:shd w:fill="CCEEFF" w:val="clear"/>
            <w:vAlign w:val="center"/>
          </w:tcPr>
          <w:p>
            <w:pPr>
              <w:pStyle w:val="TableContents"/>
              <w:bidi w:val="0"/>
              <w:spacing w:before="0" w:after="283"/>
              <w:jc w:val="left"/>
              <w:rPr/>
            </w:pPr>
            <w:r>
              <w:rPr/>
              <w:t> </w:t>
            </w:r>
            <w:bookmarkStart w:id="464" w:name="xdx_406_eus-gaap--OtherAccruedLiabilitie"/>
            <w:bookmarkEnd w:id="464"/>
          </w:p>
        </w:tc>
      </w:tr>
      <w:tr>
        <w:trPr/>
        <w:tc>
          <w:tcPr>
            <w:tcW w:w="354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bookmarkStart w:id="465" w:name="xdx_40D_eus-gaap--AccountsPayableOtherCu"/>
            <w:bookmarkEnd w:id="465"/>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 - Other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pPr>
            <w:r>
              <w:rPr/>
              <w:t>9,063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6" w:space="0" w:color="000000"/>
            </w:tcBorders>
            <w:shd w:fill="CCEEFF" w:val="clear"/>
            <w:tcMar>
              <w:bottom w:w="28" w:type="dxa"/>
            </w:tcMar>
            <w:vAlign w:val="center"/>
          </w:tcPr>
          <w:p>
            <w:pPr>
              <w:pStyle w:val="TableContents"/>
              <w:bidi w:val="0"/>
              <w:spacing w:before="0" w:after="283"/>
              <w:jc w:val="right"/>
              <w:rPr/>
            </w:pPr>
            <w:r>
              <w:rPr/>
              <w:t>6,424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6" w:name="xdx_8A5_zxIsHozg3HI3"/>
      <w:bookmarkEnd w:id="46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67" w:name="xdx_80A_eus-gaap--RevenueFromContractWit"/>
      <w:bookmarkEnd w:id="467"/>
      <w:r>
        <w:rPr>
          <w:rFonts w:ascii="Times New Roman;Times;Serif" w:hAnsi="Times New Roman;Times;Serif"/>
          <w:b/>
          <w:i w:val="false"/>
          <w:caps w:val="false"/>
          <w:smallCaps w:val="false"/>
          <w:sz w:val="20"/>
        </w:rPr>
        <w:t xml:space="preserve">NOTE 13 - </w:t>
      </w:r>
      <w:bookmarkStart w:id="468" w:name="xdx_82F_zyWDKg7iJpfc"/>
      <w:bookmarkEnd w:id="468"/>
      <w:r>
        <w:rPr>
          <w:rFonts w:ascii="Times New Roman;Times;Serif" w:hAnsi="Times New Roman;Times;Serif"/>
          <w:b/>
          <w:i w:val="false"/>
          <w:caps w:val="false"/>
          <w:smallCaps w:val="false"/>
          <w:sz w:val="20"/>
        </w:rPr>
        <w:t>DISAGGREGATED REVENUE</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69" w:name="xdx_89F_eus-gaap--ScheduleOfRevenueFromE"/>
      <w:bookmarkEnd w:id="469"/>
      <w:r>
        <w:rPr>
          <w:rFonts w:ascii="Times New Roman;Times;Serif" w:hAnsi="Times New Roman;Times;Serif"/>
          <w:b w:val="false"/>
          <w:i w:val="false"/>
          <w:caps w:val="false"/>
          <w:smallCaps w:val="false"/>
          <w:sz w:val="20"/>
        </w:rPr>
        <w:t>Revenues are attributed to geographic areas based on the location of the customers. The following is a summary of revenues:</w:t>
      </w:r>
    </w:p>
    <w:p>
      <w:pPr>
        <w:pStyle w:val="TextBody"/>
        <w:bidi w:val="0"/>
        <w:spacing w:before="0" w:after="0"/>
        <w:ind w:left="1134" w:right="0" w:hanging="0"/>
        <w:jc w:val="both"/>
        <w:rPr>
          <w:caps w:val="false"/>
          <w:smallCaps w:val="false"/>
        </w:rPr>
      </w:pPr>
      <w:r>
        <w:rPr>
          <w:caps w:val="false"/>
          <w:smallCaps w:val="false"/>
        </w:rPr>
        <w:t> </w:t>
      </w:r>
      <w:bookmarkStart w:id="470" w:name="xdx_8B4_znSUGp003qTi"/>
      <w:bookmarkEnd w:id="470"/>
      <w:r>
        <w:rPr>
          <w:rFonts w:ascii="Times New Roman;Times;Serif" w:hAnsi="Times New Roman;Times;Serif"/>
          <w:b w:val="false"/>
          <w:i w:val="false"/>
          <w:caps w:val="false"/>
          <w:smallCaps w:val="false"/>
          <w:sz w:val="20"/>
        </w:rPr>
        <w:t>SCHEDULE OF REVENUES ATTRIBUTED TO GEOGRAPHIC AREAS</w:t>
      </w:r>
    </w:p>
    <w:tbl>
      <w:tblPr>
        <w:tblW w:w="5395" w:type="dxa"/>
        <w:jc w:val="left"/>
        <w:tblInd w:w="0" w:type="dxa"/>
        <w:tblLayout w:type="fixed"/>
        <w:tblCellMar>
          <w:top w:w="0" w:type="dxa"/>
          <w:left w:w="0" w:type="dxa"/>
          <w:bottom w:w="0" w:type="dxa"/>
          <w:right w:w="0" w:type="dxa"/>
        </w:tblCellMar>
      </w:tblPr>
      <w:tblGrid>
        <w:gridCol w:w="920"/>
        <w:gridCol w:w="60"/>
        <w:gridCol w:w="200"/>
        <w:gridCol w:w="803"/>
        <w:gridCol w:w="86"/>
        <w:gridCol w:w="86"/>
        <w:gridCol w:w="200"/>
        <w:gridCol w:w="803"/>
        <w:gridCol w:w="60"/>
        <w:gridCol w:w="60"/>
        <w:gridCol w:w="188"/>
        <w:gridCol w:w="753"/>
        <w:gridCol w:w="80"/>
        <w:gridCol w:w="80"/>
        <w:gridCol w:w="188"/>
        <w:gridCol w:w="753"/>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1" w:name="xdx_49D_20250701__20250930_zzCbP3Xr1VKh"/>
            <w:bookmarkEnd w:id="471"/>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472" w:name="xdx_490_20240701__20240930_zGvf91UyUz9h"/>
            <w:bookmarkEnd w:id="472"/>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3" w:name="xdx_490_20250101__20250930_zZD24SBEITQd"/>
            <w:bookmarkEnd w:id="473"/>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474" w:name="xdx_499_20240101__20240930_z2HKbv4LECx3"/>
            <w:bookmarkEnd w:id="474"/>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 thousands)</w:t>
            </w:r>
          </w:p>
        </w:tc>
        <w:tc>
          <w:tcPr>
            <w:tcW w:w="75" w:type="dxa"/>
            <w:tcBorders/>
            <w:vAlign w:val="center"/>
          </w:tcPr>
          <w:p>
            <w:pPr>
              <w:pStyle w:val="TableContents"/>
              <w:bidi w:val="0"/>
              <w:spacing w:before="0" w:after="283"/>
              <w:jc w:val="left"/>
              <w:rPr/>
            </w:pPr>
            <w:r>
              <w:rPr/>
              <w:t> </w:t>
            </w:r>
            <w:bookmarkStart w:id="475" w:name="xdx_404_eus-gaap--RevenueFromContractWit"/>
            <w:bookmarkEnd w:id="475"/>
          </w:p>
        </w:tc>
      </w:tr>
      <w:tr>
        <w:trPr/>
        <w:tc>
          <w:tcPr>
            <w:tcW w:w="920" w:type="dxa"/>
            <w:tcBorders/>
            <w:shd w:fill="CCEEFF" w:val="clear"/>
            <w:vAlign w:val="center"/>
          </w:tcPr>
          <w:p>
            <w:pPr>
              <w:pStyle w:val="TableContents"/>
              <w:bidi w:val="0"/>
              <w:spacing w:before="0" w:after="283"/>
              <w:jc w:val="left"/>
              <w:rPr/>
            </w:pPr>
            <w:r>
              <w:rPr/>
              <w:t>USA</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497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551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bookmarkStart w:id="476" w:name="xdx_40E_eus-gaap--RevenueFromContractWit"/>
            <w:bookmarkEnd w:id="476"/>
          </w:p>
        </w:tc>
      </w:tr>
      <w:tr>
        <w:trPr/>
        <w:tc>
          <w:tcPr>
            <w:tcW w:w="92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380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982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855</w:t>
            </w:r>
          </w:p>
        </w:tc>
        <w:tc>
          <w:tcPr>
            <w:tcW w:w="75" w:type="dxa"/>
            <w:tcBorders/>
            <w:shd w:fill="FFFFFF" w:val="clear"/>
            <w:vAlign w:val="center"/>
          </w:tcPr>
          <w:p>
            <w:pPr>
              <w:pStyle w:val="TableContents"/>
              <w:bidi w:val="0"/>
              <w:spacing w:before="0" w:after="283"/>
              <w:jc w:val="left"/>
              <w:rPr/>
            </w:pPr>
            <w:r>
              <w:rPr/>
              <w:t> </w:t>
            </w:r>
            <w:bookmarkStart w:id="477" w:name="xdx_40C_eus-gaap--RevenueFromContractWit"/>
            <w:bookmarkEnd w:id="477"/>
          </w:p>
        </w:tc>
      </w:tr>
      <w:tr>
        <w:trPr/>
        <w:tc>
          <w:tcPr>
            <w:tcW w:w="920" w:type="dxa"/>
            <w:tcBorders/>
            <w:shd w:fill="CCEEFF" w:val="clear"/>
            <w:vAlign w:val="center"/>
          </w:tcPr>
          <w:p>
            <w:pPr>
              <w:pStyle w:val="TableContents"/>
              <w:bidi w:val="0"/>
              <w:spacing w:before="0" w:after="283"/>
              <w:jc w:val="left"/>
              <w:rPr/>
            </w:pPr>
            <w:r>
              <w:rPr/>
              <w:t>Italy</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293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878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865</w:t>
            </w:r>
          </w:p>
        </w:tc>
        <w:tc>
          <w:tcPr>
            <w:tcW w:w="75" w:type="dxa"/>
            <w:tcBorders/>
            <w:shd w:fill="CCEEFF" w:val="clear"/>
            <w:vAlign w:val="center"/>
          </w:tcPr>
          <w:p>
            <w:pPr>
              <w:pStyle w:val="TableContents"/>
              <w:bidi w:val="0"/>
              <w:spacing w:before="0" w:after="283"/>
              <w:jc w:val="left"/>
              <w:rPr/>
            </w:pPr>
            <w:r>
              <w:rPr/>
              <w:t> </w:t>
            </w:r>
            <w:bookmarkStart w:id="478" w:name="xdx_40D_eus-gaap--RevenueFromContractWit"/>
            <w:bookmarkEnd w:id="478"/>
          </w:p>
        </w:tc>
      </w:tr>
      <w:tr>
        <w:trPr/>
        <w:tc>
          <w:tcPr>
            <w:tcW w:w="920" w:type="dxa"/>
            <w:tcBorders/>
            <w:shd w:fill="FFFFFF" w:val="clear"/>
            <w:vAlign w:val="center"/>
          </w:tcPr>
          <w:p>
            <w:pPr>
              <w:pStyle w:val="TableContents"/>
              <w:bidi w:val="0"/>
              <w:spacing w:before="0" w:after="283"/>
              <w:jc w:val="left"/>
              <w:rPr/>
            </w:pPr>
            <w:r>
              <w:rPr/>
              <w:t>Poland</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686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534</w:t>
            </w:r>
          </w:p>
        </w:tc>
        <w:tc>
          <w:tcPr>
            <w:tcW w:w="75" w:type="dxa"/>
            <w:tcBorders/>
            <w:shd w:fill="FFFFFF" w:val="clear"/>
            <w:vAlign w:val="center"/>
          </w:tcPr>
          <w:p>
            <w:pPr>
              <w:pStyle w:val="TableContents"/>
              <w:bidi w:val="0"/>
              <w:spacing w:before="0" w:after="283"/>
              <w:jc w:val="left"/>
              <w:rPr/>
            </w:pPr>
            <w:r>
              <w:rPr/>
              <w:t> </w:t>
            </w:r>
            <w:bookmarkStart w:id="479" w:name="xdx_409_eus-gaap--RevenueFromContractWit"/>
            <w:bookmarkEnd w:id="479"/>
          </w:p>
        </w:tc>
      </w:tr>
      <w:tr>
        <w:trPr/>
        <w:tc>
          <w:tcPr>
            <w:tcW w:w="920" w:type="dxa"/>
            <w:tcBorders/>
            <w:shd w:fill="CCEEFF" w:val="clear"/>
            <w:vAlign w:val="center"/>
          </w:tcPr>
          <w:p>
            <w:pPr>
              <w:pStyle w:val="TableContents"/>
              <w:bidi w:val="0"/>
              <w:spacing w:before="0" w:after="283"/>
              <w:jc w:val="left"/>
              <w:rPr/>
            </w:pPr>
            <w:r>
              <w:rPr/>
              <w:t>Russia</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375</w:t>
            </w:r>
          </w:p>
        </w:tc>
        <w:tc>
          <w:tcPr>
            <w:tcW w:w="75" w:type="dxa"/>
            <w:tcBorders/>
            <w:shd w:fill="CCEEFF" w:val="clear"/>
            <w:vAlign w:val="center"/>
          </w:tcPr>
          <w:p>
            <w:pPr>
              <w:pStyle w:val="TableContents"/>
              <w:bidi w:val="0"/>
              <w:spacing w:before="0" w:after="283"/>
              <w:jc w:val="left"/>
              <w:rPr/>
            </w:pPr>
            <w:r>
              <w:rPr/>
              <w:t> </w:t>
            </w:r>
            <w:bookmarkStart w:id="480" w:name="xdx_40C_eus-gaap--RevenueFromContractWit"/>
            <w:bookmarkEnd w:id="480"/>
          </w:p>
        </w:tc>
      </w:tr>
      <w:tr>
        <w:trPr/>
        <w:tc>
          <w:tcPr>
            <w:tcW w:w="920" w:type="dxa"/>
            <w:tcBorders/>
            <w:shd w:fill="FFFFFF" w:val="clear"/>
            <w:vAlign w:val="center"/>
          </w:tcPr>
          <w:p>
            <w:pPr>
              <w:pStyle w:val="TableContents"/>
              <w:bidi w:val="0"/>
              <w:spacing w:before="0" w:after="283"/>
              <w:jc w:val="left"/>
              <w:rPr/>
            </w:pPr>
            <w:r>
              <w:rPr/>
              <w:t>Other</w:t>
            </w:r>
            <w:bookmarkStart w:id="481" w:name="xdx_F45_zzsMsYePfMJl"/>
            <w:bookmarkEnd w:id="481"/>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1,142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2,733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2,402</w:t>
            </w:r>
          </w:p>
        </w:tc>
        <w:tc>
          <w:tcPr>
            <w:tcW w:w="75" w:type="dxa"/>
            <w:tcBorders/>
            <w:shd w:fill="FFFFFF" w:val="clear"/>
            <w:vAlign w:val="center"/>
          </w:tcPr>
          <w:p>
            <w:pPr>
              <w:pStyle w:val="TableContents"/>
              <w:bidi w:val="0"/>
              <w:spacing w:before="0" w:after="283"/>
              <w:jc w:val="left"/>
              <w:rPr/>
            </w:pPr>
            <w:r>
              <w:rPr/>
              <w:t> </w:t>
            </w:r>
            <w:bookmarkStart w:id="482" w:name="xdx_404_eus-gaap--RevenueFromContractWit"/>
            <w:bookmarkEnd w:id="482"/>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pPr>
            <w:r>
              <w:rPr/>
              <w:t>2,523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pPr>
            <w:r>
              <w:rPr/>
              <w:t>1,810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jc w:val="right"/>
              <w:rPr/>
            </w:pPr>
            <w:r>
              <w:rPr/>
              <w:t>5,830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jc w:val="right"/>
              <w:rPr/>
            </w:pPr>
            <w:r>
              <w:rPr/>
              <w:t>5,060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140"/>
        <w:gridCol w:w="23"/>
        <w:gridCol w:w="920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483" w:name="xdx_F01_zlimfKZwVHyb"/>
            <w:bookmarkEnd w:id="483"/>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9200" w:type="dxa"/>
            <w:tcBorders/>
            <w:vAlign w:val="center"/>
          </w:tcPr>
          <w:p>
            <w:pPr>
              <w:pStyle w:val="TableContents"/>
              <w:bidi w:val="0"/>
              <w:spacing w:before="0" w:after="283"/>
              <w:jc w:val="both"/>
              <w:rPr>
                <w:rFonts w:ascii="Times New Roman;Times;Serif" w:hAnsi="Times New Roman;Times;Serif"/>
                <w:sz w:val="20"/>
              </w:rPr>
            </w:pPr>
            <w:bookmarkStart w:id="484" w:name="xdx_F13_zwagxDql3ohe"/>
            <w:bookmarkEnd w:id="484"/>
            <w:r>
              <w:rPr>
                <w:rFonts w:ascii="Times New Roman;Times;Serif" w:hAnsi="Times New Roman;Times;Serif"/>
                <w:sz w:val="20"/>
              </w:rPr>
              <w:t>Other individual countries do not exceed 10% in the nine and three months ended September 30, 2025 and 2024.</w:t>
            </w:r>
          </w:p>
        </w:tc>
      </w:tr>
    </w:tbl>
    <w:p>
      <w:pPr>
        <w:pStyle w:val="TextBody"/>
        <w:bidi w:val="0"/>
        <w:spacing w:before="0" w:after="0"/>
        <w:ind w:left="0" w:right="0" w:hanging="0"/>
        <w:jc w:val="both"/>
        <w:rPr>
          <w:caps w:val="false"/>
          <w:smallCaps w:val="false"/>
        </w:rPr>
      </w:pPr>
      <w:bookmarkStart w:id="485" w:name="xdx_8AA_zu22hSyU7Nk8"/>
      <w:bookmarkEnd w:id="485"/>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86" w:name="xdx_89B_eus-gaap--ScheduleOfRevenueByMaj"/>
      <w:bookmarkEnd w:id="486"/>
      <w:r>
        <w:rPr>
          <w:rFonts w:ascii="Times New Roman;Times;Serif" w:hAnsi="Times New Roman;Times;Serif"/>
          <w:b w:val="false"/>
          <w:i w:val="false"/>
          <w:caps w:val="false"/>
          <w:smallCaps w:val="false"/>
          <w:sz w:val="20"/>
        </w:rPr>
        <w:t>By principal customers:</w:t>
      </w:r>
    </w:p>
    <w:p>
      <w:pPr>
        <w:pStyle w:val="TextBody"/>
        <w:bidi w:val="0"/>
        <w:spacing w:before="0" w:after="0"/>
        <w:ind w:left="1080" w:right="0" w:hanging="0"/>
        <w:jc w:val="both"/>
        <w:rPr>
          <w:caps w:val="false"/>
          <w:smallCaps w:val="false"/>
        </w:rPr>
      </w:pPr>
      <w:r>
        <w:rPr>
          <w:caps w:val="false"/>
          <w:smallCaps w:val="false"/>
        </w:rPr>
        <w:t> </w:t>
      </w:r>
      <w:bookmarkStart w:id="487" w:name="xdx_8B5_zfi9lXkxsWXd"/>
      <w:bookmarkEnd w:id="487"/>
      <w:r>
        <w:rPr>
          <w:rFonts w:ascii="Times New Roman;Times;Serif" w:hAnsi="Times New Roman;Times;Serif"/>
          <w:b w:val="false"/>
          <w:i w:val="false"/>
          <w:caps w:val="false"/>
          <w:smallCaps w:val="false"/>
          <w:sz w:val="20"/>
        </w:rPr>
        <w:t>SCHEDULE OF REVENUES ATTRIBUTED TO GEOGRAPHIC AREAS BY PRINCIPAL CUSTOMERS</w:t>
      </w:r>
    </w:p>
    <w:tbl>
      <w:tblPr>
        <w:tblW w:w="6409" w:type="dxa"/>
        <w:jc w:val="left"/>
        <w:tblInd w:w="0" w:type="dxa"/>
        <w:tblLayout w:type="fixed"/>
        <w:tblCellMar>
          <w:top w:w="0" w:type="dxa"/>
          <w:left w:w="0" w:type="dxa"/>
          <w:bottom w:w="0" w:type="dxa"/>
          <w:right w:w="0" w:type="dxa"/>
        </w:tblCellMar>
      </w:tblPr>
      <w:tblGrid>
        <w:gridCol w:w="1625"/>
        <w:gridCol w:w="60"/>
        <w:gridCol w:w="159"/>
        <w:gridCol w:w="695"/>
        <w:gridCol w:w="367"/>
        <w:gridCol w:w="102"/>
        <w:gridCol w:w="159"/>
        <w:gridCol w:w="695"/>
        <w:gridCol w:w="215"/>
        <w:gridCol w:w="60"/>
        <w:gridCol w:w="149"/>
        <w:gridCol w:w="652"/>
        <w:gridCol w:w="344"/>
        <w:gridCol w:w="96"/>
        <w:gridCol w:w="149"/>
        <w:gridCol w:w="652"/>
        <w:gridCol w:w="230"/>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8" w:name="xdx_49D_20250701__20250930_zpypURDvxgqb"/>
            <w:bookmarkEnd w:id="488"/>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489" w:name="xdx_490_20240701__20240930_z4oT3cEWt5I2"/>
            <w:bookmarkEnd w:id="489"/>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0" w:name="xdx_490_20250101__20250930_znuHn5QdbHQh"/>
            <w:bookmarkEnd w:id="490"/>
          </w:p>
        </w:tc>
        <w:tc>
          <w:tcPr>
            <w:tcW w:w="8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4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491" w:name="xdx_499_20240101__20240930_zhaWLjDF6rNk"/>
            <w:bookmarkEnd w:id="491"/>
          </w:p>
        </w:tc>
        <w:tc>
          <w:tcPr>
            <w:tcW w:w="8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23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4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bookmarkStart w:id="492" w:name="xdx_401_eus-gaap--ConcentrationRiskPerce"/>
            <w:bookmarkEnd w:id="492"/>
          </w:p>
        </w:tc>
      </w:tr>
      <w:tr>
        <w:trPr/>
        <w:tc>
          <w:tcPr>
            <w:tcW w:w="162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15</w:t>
            </w:r>
          </w:p>
        </w:tc>
        <w:tc>
          <w:tcPr>
            <w:tcW w:w="367"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17</w:t>
            </w:r>
          </w:p>
        </w:tc>
        <w:tc>
          <w:tcPr>
            <w:tcW w:w="344"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bookmarkStart w:id="493" w:name="xdx_409_eus-gaap--ConcentrationRiskPerce"/>
            <w:bookmarkEnd w:id="493"/>
          </w:p>
        </w:tc>
      </w:tr>
      <w:tr>
        <w:trPr/>
        <w:tc>
          <w:tcPr>
            <w:tcW w:w="1625"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8</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12</w:t>
            </w:r>
          </w:p>
        </w:tc>
        <w:tc>
          <w:tcPr>
            <w:tcW w:w="344"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11</w:t>
            </w:r>
          </w:p>
        </w:tc>
        <w:tc>
          <w:tcPr>
            <w:tcW w:w="230" w:type="dxa"/>
            <w:tcBorders/>
            <w:shd w:fill="FFFFFF" w:val="clear"/>
            <w:vAlign w:val="center"/>
          </w:tcPr>
          <w:p>
            <w:pPr>
              <w:pStyle w:val="TableContents"/>
              <w:bidi w:val="0"/>
              <w:spacing w:before="0" w:after="283"/>
              <w:jc w:val="left"/>
              <w:rPr/>
            </w:pPr>
            <w:r>
              <w:rPr/>
              <w:t>%</w:t>
            </w:r>
            <w:bookmarkStart w:id="494" w:name="xdx_40F_eus-gaap--ConcentrationRiskPerce"/>
            <w:bookmarkEnd w:id="494"/>
          </w:p>
        </w:tc>
      </w:tr>
      <w:tr>
        <w:trPr/>
        <w:tc>
          <w:tcPr>
            <w:tcW w:w="1625"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34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7</w:t>
            </w:r>
          </w:p>
        </w:tc>
        <w:tc>
          <w:tcPr>
            <w:tcW w:w="230" w:type="dxa"/>
            <w:tcBorders/>
            <w:shd w:fill="CCEEFF" w:val="clear"/>
            <w:vAlign w:val="center"/>
          </w:tcPr>
          <w:p>
            <w:pPr>
              <w:pStyle w:val="TableContents"/>
              <w:bidi w:val="0"/>
              <w:spacing w:before="0" w:after="283"/>
              <w:jc w:val="left"/>
              <w:rPr/>
            </w:pPr>
            <w:r>
              <w:rPr/>
              <w:t>%</w:t>
            </w:r>
            <w:bookmarkStart w:id="495" w:name="xdx_40B_eus-gaap--ConcentrationRiskPerce"/>
            <w:bookmarkEnd w:id="495"/>
          </w:p>
        </w:tc>
      </w:tr>
      <w:tr>
        <w:trPr/>
        <w:tc>
          <w:tcPr>
            <w:tcW w:w="1625"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8</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9</w:t>
            </w:r>
          </w:p>
        </w:tc>
        <w:tc>
          <w:tcPr>
            <w:tcW w:w="344"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bookmarkStart w:id="496" w:name="xdx_408_eus-gaap--ConcentrationRiskPerce"/>
            <w:bookmarkEnd w:id="496"/>
          </w:p>
        </w:tc>
      </w:tr>
      <w:tr>
        <w:trPr/>
        <w:tc>
          <w:tcPr>
            <w:tcW w:w="1625" w:type="dxa"/>
            <w:tcBorders/>
            <w:shd w:fill="FFFFFF" w:val="clear"/>
            <w:vAlign w:val="center"/>
          </w:tcPr>
          <w:p>
            <w:pPr>
              <w:pStyle w:val="TableContents"/>
              <w:bidi w:val="0"/>
              <w:spacing w:before="0" w:after="283"/>
              <w:jc w:val="left"/>
              <w:rPr/>
            </w:pPr>
            <w:r>
              <w:rPr/>
              <w:t>Sales Percentage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8</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9</w:t>
            </w:r>
          </w:p>
        </w:tc>
        <w:tc>
          <w:tcPr>
            <w:tcW w:w="344"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497" w:name="xdx_8A3_zifyj3qO1yK4"/>
      <w:bookmarkEnd w:id="49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8" w:name="xdx_80B_eus-gaap--SegmentReportingDisclo"/>
      <w:bookmarkEnd w:id="498"/>
      <w:r>
        <w:rPr>
          <w:rFonts w:ascii="Times New Roman;Times;Serif" w:hAnsi="Times New Roman;Times;Serif"/>
          <w:b/>
          <w:i w:val="false"/>
          <w:caps w:val="false"/>
          <w:smallCaps w:val="false"/>
          <w:sz w:val="20"/>
        </w:rPr>
        <w:t xml:space="preserve">NOTE 14 – </w:t>
      </w:r>
      <w:bookmarkStart w:id="499" w:name="xdx_821_zDJaWvEGginf"/>
      <w:bookmarkEnd w:id="499"/>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500" w:name="xdx_900_eus-gaap--NumberOfOperatingSegme"/>
      <w:bookmarkStart w:id="501" w:name="xdx_90D_eus-gaap--NumberOfReportableSegm"/>
      <w:bookmarkEnd w:id="500"/>
      <w:bookmarkEnd w:id="501"/>
      <w:r>
        <w:rPr>
          <w:rFonts w:ascii="Times New Roman;Times;Serif" w:hAnsi="Times New Roman;Times;Serif"/>
          <w:b w:val="false"/>
          <w:i w:val="false"/>
          <w:caps w:val="false"/>
          <w:smallCaps w:val="false"/>
          <w:sz w:val="20"/>
        </w:rPr>
        <w:t>one operating and reporting segment, that develops, manufactures and markets products for the treatment of carotid artery disease and other vascular disease, including the Company’s proprietary CGuard™ stent platform. The Company’s Chief Operating Decision Maker (“CODM”), who is the CEO evaluates the Company’s performance based on its internal reporting which is consistent with the presentation in the Company’s consolidated financial statements. Accordingly, our CODM uses consolidated net income to measure segment profit or loss, allocate resources, and assess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examines, within each operational function the employee salaries including the bonus and share based compensation. In addition, the CODM examines the clinical trials expenses within the research and development operations.</w:t>
      </w:r>
    </w:p>
    <w:p>
      <w:pPr>
        <w:pStyle w:val="TextBody"/>
        <w:bidi w:val="0"/>
        <w:spacing w:before="0" w:after="0"/>
        <w:ind w:left="0" w:right="0" w:hanging="0"/>
        <w:jc w:val="both"/>
        <w:rPr>
          <w:caps w:val="false"/>
          <w:smallCaps w:val="false"/>
        </w:rPr>
      </w:pPr>
      <w:bookmarkStart w:id="502" w:name="xdx_89B_ecustom--ScheduleOfRevenueAndExp"/>
      <w:bookmarkEnd w:id="502"/>
      <w:r>
        <w:rPr>
          <w:caps w:val="false"/>
          <w:smallCaps w:val="false"/>
        </w:rPr>
        <w:t> </w:t>
      </w:r>
      <w:bookmarkStart w:id="503" w:name="xdx_8BE_zYAF6ojdmy68"/>
      <w:bookmarkEnd w:id="503"/>
      <w:r>
        <w:rPr>
          <w:rFonts w:ascii="Times New Roman;Times;Serif" w:hAnsi="Times New Roman;Times;Serif"/>
          <w:b w:val="false"/>
          <w:i w:val="false"/>
          <w:caps w:val="false"/>
          <w:smallCaps w:val="false"/>
          <w:sz w:val="20"/>
        </w:rPr>
        <w:t>SCHEDULE OF SEGMENT REVENUE</w:t>
      </w:r>
    </w:p>
    <w:tbl>
      <w:tblPr>
        <w:tblW w:w="8117" w:type="dxa"/>
        <w:jc w:val="left"/>
        <w:tblInd w:w="0" w:type="dxa"/>
        <w:tblLayout w:type="fixed"/>
        <w:tblCellMar>
          <w:top w:w="0" w:type="dxa"/>
          <w:left w:w="0" w:type="dxa"/>
          <w:bottom w:w="0" w:type="dxa"/>
          <w:right w:w="0" w:type="dxa"/>
        </w:tblCellMar>
      </w:tblPr>
      <w:tblGrid>
        <w:gridCol w:w="3575"/>
        <w:gridCol w:w="60"/>
        <w:gridCol w:w="78"/>
        <w:gridCol w:w="988"/>
        <w:gridCol w:w="124"/>
        <w:gridCol w:w="78"/>
        <w:gridCol w:w="78"/>
        <w:gridCol w:w="831"/>
        <w:gridCol w:w="95"/>
        <w:gridCol w:w="60"/>
        <w:gridCol w:w="68"/>
        <w:gridCol w:w="864"/>
        <w:gridCol w:w="108"/>
        <w:gridCol w:w="68"/>
        <w:gridCol w:w="68"/>
        <w:gridCol w:w="864"/>
        <w:gridCol w:w="110"/>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04" w:name="xdx_49D_20250701__20250930_zTdHa6CGo4fb"/>
            <w:bookmarkEnd w:id="504"/>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4"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bookmarkStart w:id="505" w:name="xdx_490_20240701__20240930_zZ3UkLN4pEt6"/>
            <w:bookmarkEnd w:id="505"/>
          </w:p>
        </w:tc>
        <w:tc>
          <w:tcPr>
            <w:tcW w:w="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06" w:name="xdx_490_20250101__20250930_zXm3Q2z8Gdg5"/>
            <w:bookmarkEnd w:id="506"/>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bookmarkStart w:id="507" w:name="xdx_499_20240101__20240930_zNyBFkUvMXOd"/>
            <w:bookmarkEnd w:id="507"/>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4"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08" w:name="xdx_404_eus-gaap--RevenueFromContractWit"/>
            <w:bookmarkEnd w:id="508"/>
          </w:p>
        </w:tc>
      </w:tr>
      <w:tr>
        <w:trPr/>
        <w:tc>
          <w:tcPr>
            <w:tcW w:w="357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2,523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rPr>
            </w:pPr>
            <w:r>
              <w:rPr>
                <w:b/>
              </w:rPr>
              <w:t>1,810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5,830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5,060</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09" w:name="xdx_40F_eus-gaap--CostOfGoodsAndServices"/>
            <w:bookmarkEnd w:id="509"/>
          </w:p>
        </w:tc>
      </w:tr>
      <w:tr>
        <w:trPr/>
        <w:tc>
          <w:tcPr>
            <w:tcW w:w="357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0" w:name="xdx_40B_eus-gaap--CostDirectMaterial_i01"/>
            <w:bookmarkEnd w:id="510"/>
          </w:p>
        </w:tc>
      </w:tr>
      <w:tr>
        <w:trPr/>
        <w:tc>
          <w:tcPr>
            <w:tcW w:w="3575" w:type="dxa"/>
            <w:tcBorders/>
            <w:shd w:fill="FFFFFF" w:val="clear"/>
            <w:vAlign w:val="center"/>
          </w:tcPr>
          <w:p>
            <w:pPr>
              <w:pStyle w:val="TableContents"/>
              <w:bidi w:val="0"/>
              <w:spacing w:before="0" w:after="283"/>
              <w:jc w:val="left"/>
              <w:rPr/>
            </w:pPr>
            <w:r>
              <w:rPr/>
              <w:t>Material and Labor</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1,391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3,554</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3,373</w:t>
            </w:r>
          </w:p>
        </w:tc>
        <w:tc>
          <w:tcPr>
            <w:tcW w:w="110" w:type="dxa"/>
            <w:tcBorders/>
            <w:shd w:fill="FFFFFF" w:val="clear"/>
            <w:vAlign w:val="center"/>
          </w:tcPr>
          <w:p>
            <w:pPr>
              <w:pStyle w:val="TableContents"/>
              <w:bidi w:val="0"/>
              <w:spacing w:before="0" w:after="283"/>
              <w:jc w:val="left"/>
              <w:rPr/>
            </w:pPr>
            <w:r>
              <w:rPr/>
              <w:t> </w:t>
            </w:r>
            <w:bookmarkStart w:id="511" w:name="xdx_400_eus-gaap--OtherCostOfOperatingRe"/>
            <w:bookmarkEnd w:id="511"/>
          </w:p>
        </w:tc>
      </w:tr>
      <w:tr>
        <w:trPr/>
        <w:tc>
          <w:tcPr>
            <w:tcW w:w="3575" w:type="dxa"/>
            <w:tcBorders/>
            <w:shd w:fill="CCEEFF" w:val="clear"/>
            <w:vAlign w:val="center"/>
          </w:tcPr>
          <w:p>
            <w:pPr>
              <w:pStyle w:val="TableContents"/>
              <w:bidi w:val="0"/>
              <w:spacing w:before="0" w:after="283"/>
              <w:jc w:val="left"/>
              <w:rPr/>
            </w:pPr>
            <w:r>
              <w:rPr/>
              <w:t>Other cost of revenues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807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650</w:t>
            </w:r>
          </w:p>
        </w:tc>
        <w:tc>
          <w:tcPr>
            <w:tcW w:w="110" w:type="dxa"/>
            <w:tcBorders/>
            <w:shd w:fill="CCEEFF" w:val="clear"/>
            <w:vAlign w:val="center"/>
          </w:tcPr>
          <w:p>
            <w:pPr>
              <w:pStyle w:val="TableContents"/>
              <w:bidi w:val="0"/>
              <w:spacing w:before="0" w:after="283"/>
              <w:jc w:val="left"/>
              <w:rPr/>
            </w:pPr>
            <w:r>
              <w:rPr/>
              <w:t> </w:t>
            </w:r>
            <w:bookmarkStart w:id="512" w:name="xdx_402_eus-gaap--CostOfGoodsAndServices"/>
            <w:bookmarkEnd w:id="512"/>
          </w:p>
        </w:tc>
      </w:tr>
      <w:tr>
        <w:trPr/>
        <w:tc>
          <w:tcPr>
            <w:tcW w:w="357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1,659</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b/>
              </w:rPr>
            </w:pPr>
            <w:r>
              <w:rPr>
                <w:b/>
              </w:rPr>
              <w:t>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b/>
              </w:rPr>
            </w:pPr>
            <w:r>
              <w:rPr>
                <w:b/>
              </w:rPr>
              <w:t>4,361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b/>
              </w:rPr>
            </w:pPr>
            <w:r>
              <w:rPr>
                <w:b/>
              </w:rPr>
              <w:t>4,023</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3" w:name="xdx_40D_eus-gaap--ResearchAndDevelopment"/>
            <w:bookmarkEnd w:id="513"/>
          </w:p>
        </w:tc>
      </w:tr>
      <w:tr>
        <w:trPr/>
        <w:tc>
          <w:tcPr>
            <w:tcW w:w="3575" w:type="dxa"/>
            <w:tcBorders/>
            <w:shd w:fill="FFFFFF" w:val="clear"/>
            <w:vAlign w:val="center"/>
          </w:tcPr>
          <w:p>
            <w:pPr>
              <w:pStyle w:val="TableContents"/>
              <w:bidi w:val="0"/>
              <w:spacing w:before="0" w:after="283"/>
              <w:jc w:val="left"/>
              <w:rPr>
                <w:b/>
              </w:rPr>
            </w:pPr>
            <w:r>
              <w:rPr>
                <w:b/>
              </w:rPr>
              <w:t>Research and development (R&amp;D)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4" w:name="xdx_40A_eus-gaap--EmployeeBenefitsAndSha"/>
            <w:bookmarkEnd w:id="514"/>
          </w:p>
        </w:tc>
      </w:tr>
      <w:tr>
        <w:trPr/>
        <w:tc>
          <w:tcPr>
            <w:tcW w:w="3575" w:type="dxa"/>
            <w:tcBorders/>
            <w:shd w:fill="CCEEFF" w:val="clear"/>
            <w:vAlign w:val="center"/>
          </w:tcPr>
          <w:p>
            <w:pPr>
              <w:pStyle w:val="TableContents"/>
              <w:bidi w:val="0"/>
              <w:spacing w:before="0" w:after="283"/>
              <w:jc w:val="left"/>
              <w:rPr/>
            </w:pPr>
            <w:r>
              <w:rPr/>
              <w:t>Payroll and Benefits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1,089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3,063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2,066</w:t>
            </w:r>
          </w:p>
        </w:tc>
        <w:tc>
          <w:tcPr>
            <w:tcW w:w="110" w:type="dxa"/>
            <w:tcBorders/>
            <w:shd w:fill="CCEEFF" w:val="clear"/>
            <w:vAlign w:val="center"/>
          </w:tcPr>
          <w:p>
            <w:pPr>
              <w:pStyle w:val="TableContents"/>
              <w:bidi w:val="0"/>
              <w:spacing w:before="0" w:after="283"/>
              <w:jc w:val="left"/>
              <w:rPr/>
            </w:pPr>
            <w:r>
              <w:rPr/>
              <w:t> </w:t>
            </w:r>
            <w:bookmarkStart w:id="515" w:name="xdx_407_eus-gaap--ShareBasedCompensation"/>
            <w:bookmarkEnd w:id="515"/>
          </w:p>
        </w:tc>
      </w:tr>
      <w:tr>
        <w:trPr/>
        <w:tc>
          <w:tcPr>
            <w:tcW w:w="357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576</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1,889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1,795</w:t>
            </w:r>
          </w:p>
        </w:tc>
        <w:tc>
          <w:tcPr>
            <w:tcW w:w="110" w:type="dxa"/>
            <w:tcBorders/>
            <w:shd w:fill="FFFFFF" w:val="clear"/>
            <w:vAlign w:val="center"/>
          </w:tcPr>
          <w:p>
            <w:pPr>
              <w:pStyle w:val="TableContents"/>
              <w:bidi w:val="0"/>
              <w:spacing w:before="0" w:after="283"/>
              <w:jc w:val="left"/>
              <w:rPr/>
            </w:pPr>
            <w:r>
              <w:rPr/>
              <w:t> </w:t>
            </w:r>
            <w:bookmarkStart w:id="516" w:name="xdx_408_ecustom--ClinicalTrials_i01_pn3n"/>
            <w:bookmarkEnd w:id="516"/>
          </w:p>
        </w:tc>
      </w:tr>
      <w:tr>
        <w:trPr/>
        <w:tc>
          <w:tcPr>
            <w:tcW w:w="3575" w:type="dxa"/>
            <w:tcBorders/>
            <w:shd w:fill="CCEEFF" w:val="clear"/>
            <w:vAlign w:val="center"/>
          </w:tcPr>
          <w:p>
            <w:pPr>
              <w:pStyle w:val="TableContents"/>
              <w:bidi w:val="0"/>
              <w:spacing w:before="0" w:after="283"/>
              <w:jc w:val="left"/>
              <w:rPr/>
            </w:pPr>
            <w:r>
              <w:rPr/>
              <w:t>Clinical trials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1,105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1,289</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3,401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3,240</w:t>
            </w:r>
          </w:p>
        </w:tc>
        <w:tc>
          <w:tcPr>
            <w:tcW w:w="110" w:type="dxa"/>
            <w:tcBorders/>
            <w:shd w:fill="CCEEFF" w:val="clear"/>
            <w:vAlign w:val="center"/>
          </w:tcPr>
          <w:p>
            <w:pPr>
              <w:pStyle w:val="TableContents"/>
              <w:bidi w:val="0"/>
              <w:spacing w:before="0" w:after="283"/>
              <w:jc w:val="left"/>
              <w:rPr/>
            </w:pPr>
            <w:r>
              <w:rPr/>
              <w:t> </w:t>
            </w:r>
            <w:bookmarkStart w:id="517" w:name="xdx_401_eus-gaap--OtherResearchAndDevelo"/>
            <w:bookmarkEnd w:id="517"/>
          </w:p>
        </w:tc>
      </w:tr>
      <w:tr>
        <w:trPr/>
        <w:tc>
          <w:tcPr>
            <w:tcW w:w="3575" w:type="dxa"/>
            <w:tcBorders/>
            <w:shd w:fill="FFFFFF" w:val="clear"/>
            <w:vAlign w:val="center"/>
          </w:tcPr>
          <w:p>
            <w:pPr>
              <w:pStyle w:val="TableContents"/>
              <w:bidi w:val="0"/>
              <w:spacing w:before="0" w:after="283"/>
              <w:jc w:val="left"/>
              <w:rPr/>
            </w:pPr>
            <w:r>
              <w:rPr/>
              <w:t>Other R&amp;D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865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3,175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2,840</w:t>
            </w:r>
          </w:p>
        </w:tc>
        <w:tc>
          <w:tcPr>
            <w:tcW w:w="110" w:type="dxa"/>
            <w:tcBorders/>
            <w:shd w:fill="FFFFFF" w:val="clear"/>
            <w:vAlign w:val="center"/>
          </w:tcPr>
          <w:p>
            <w:pPr>
              <w:pStyle w:val="TableContents"/>
              <w:bidi w:val="0"/>
              <w:spacing w:before="0" w:after="283"/>
              <w:jc w:val="left"/>
              <w:rPr/>
            </w:pPr>
            <w:r>
              <w:rPr/>
              <w:t> </w:t>
            </w:r>
            <w:bookmarkStart w:id="518" w:name="xdx_401_eus-gaap--ResearchAndDevelopment"/>
            <w:bookmarkEnd w:id="518"/>
          </w:p>
        </w:tc>
      </w:tr>
      <w:tr>
        <w:trPr/>
        <w:tc>
          <w:tcPr>
            <w:tcW w:w="3575" w:type="dxa"/>
            <w:tcBorders/>
            <w:shd w:fill="CCEEFF" w:val="clear"/>
            <w:vAlign w:val="center"/>
          </w:tcPr>
          <w:p>
            <w:pPr>
              <w:pStyle w:val="TableContents"/>
              <w:bidi w:val="0"/>
              <w:spacing w:before="0" w:after="283"/>
              <w:jc w:val="left"/>
              <w:rPr>
                <w:b/>
              </w:rPr>
            </w:pPr>
            <w:r>
              <w:rPr>
                <w:b/>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3,635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rPr>
            </w:pPr>
            <w:r>
              <w:rPr>
                <w:b/>
              </w:rPr>
              <w:t>3,915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11,528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9,941</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9" w:name="xdx_40C_eus-gaap--SellingAndMarketingExp"/>
            <w:bookmarkEnd w:id="519"/>
          </w:p>
        </w:tc>
      </w:tr>
      <w:tr>
        <w:trPr/>
        <w:tc>
          <w:tcPr>
            <w:tcW w:w="3575" w:type="dxa"/>
            <w:tcBorders/>
            <w:shd w:fill="CCEEFF" w:val="clear"/>
            <w:vAlign w:val="center"/>
          </w:tcPr>
          <w:p>
            <w:pPr>
              <w:pStyle w:val="TableContents"/>
              <w:bidi w:val="0"/>
              <w:spacing w:before="0" w:after="283"/>
              <w:jc w:val="left"/>
              <w:rPr>
                <w:b/>
              </w:rPr>
            </w:pPr>
            <w:r>
              <w:rPr>
                <w:b/>
              </w:rPr>
              <w:t>Selling and marketing (S&amp;M)</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0" w:name="xdx_404_eus-gaap--EmployeeBenefitsAndSha"/>
            <w:bookmarkEnd w:id="520"/>
          </w:p>
        </w:tc>
      </w:tr>
      <w:tr>
        <w:trPr/>
        <w:tc>
          <w:tcPr>
            <w:tcW w:w="3575" w:type="dxa"/>
            <w:tcBorders/>
            <w:shd w:fill="FFFFFF" w:val="clear"/>
            <w:vAlign w:val="center"/>
          </w:tcPr>
          <w:p>
            <w:pPr>
              <w:pStyle w:val="TableContents"/>
              <w:bidi w:val="0"/>
              <w:spacing w:before="0" w:after="283"/>
              <w:jc w:val="left"/>
              <w:rPr/>
            </w:pPr>
            <w:r>
              <w:rPr/>
              <w:t>Payroll and Benefits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2,975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7,732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2,522</w:t>
            </w:r>
          </w:p>
        </w:tc>
        <w:tc>
          <w:tcPr>
            <w:tcW w:w="110" w:type="dxa"/>
            <w:tcBorders/>
            <w:shd w:fill="FFFFFF" w:val="clear"/>
            <w:vAlign w:val="center"/>
          </w:tcPr>
          <w:p>
            <w:pPr>
              <w:pStyle w:val="TableContents"/>
              <w:bidi w:val="0"/>
              <w:spacing w:before="0" w:after="283"/>
              <w:jc w:val="left"/>
              <w:rPr/>
            </w:pPr>
            <w:r>
              <w:rPr/>
              <w:t> </w:t>
            </w:r>
            <w:bookmarkStart w:id="521" w:name="xdx_409_eus-gaap--ShareBasedCompensation"/>
            <w:bookmarkEnd w:id="521"/>
          </w:p>
        </w:tc>
      </w:tr>
      <w:tr>
        <w:trPr/>
        <w:tc>
          <w:tcPr>
            <w:tcW w:w="357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567</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1,379</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791</w:t>
            </w:r>
          </w:p>
        </w:tc>
        <w:tc>
          <w:tcPr>
            <w:tcW w:w="110" w:type="dxa"/>
            <w:tcBorders/>
            <w:shd w:fill="CCEEFF" w:val="clear"/>
            <w:vAlign w:val="center"/>
          </w:tcPr>
          <w:p>
            <w:pPr>
              <w:pStyle w:val="TableContents"/>
              <w:bidi w:val="0"/>
              <w:spacing w:before="0" w:after="283"/>
              <w:jc w:val="left"/>
              <w:rPr/>
            </w:pPr>
            <w:r>
              <w:rPr/>
              <w:t> </w:t>
            </w:r>
            <w:bookmarkStart w:id="522" w:name="xdx_403_eus-gaap--OtherSellingAndMarketi"/>
            <w:bookmarkEnd w:id="522"/>
          </w:p>
        </w:tc>
      </w:tr>
      <w:tr>
        <w:trPr/>
        <w:tc>
          <w:tcPr>
            <w:tcW w:w="3575" w:type="dxa"/>
            <w:tcBorders/>
            <w:shd w:fill="FFFFFF" w:val="clear"/>
            <w:vAlign w:val="center"/>
          </w:tcPr>
          <w:p>
            <w:pPr>
              <w:pStyle w:val="TableContents"/>
              <w:bidi w:val="0"/>
              <w:spacing w:before="0" w:after="283"/>
              <w:jc w:val="left"/>
              <w:rPr/>
            </w:pPr>
            <w:r>
              <w:rPr/>
              <w:t>Other S&amp;M</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850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2,203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841</w:t>
            </w:r>
          </w:p>
        </w:tc>
        <w:tc>
          <w:tcPr>
            <w:tcW w:w="110" w:type="dxa"/>
            <w:tcBorders/>
            <w:shd w:fill="FFFFFF" w:val="clear"/>
            <w:vAlign w:val="center"/>
          </w:tcPr>
          <w:p>
            <w:pPr>
              <w:pStyle w:val="TableContents"/>
              <w:bidi w:val="0"/>
              <w:spacing w:before="0" w:after="283"/>
              <w:jc w:val="left"/>
              <w:rPr/>
            </w:pPr>
            <w:r>
              <w:rPr/>
              <w:t> </w:t>
            </w:r>
            <w:bookmarkStart w:id="523" w:name="xdx_40D_eus-gaap--SellingAndMarketingExp"/>
            <w:bookmarkEnd w:id="523"/>
          </w:p>
        </w:tc>
      </w:tr>
      <w:tr>
        <w:trPr/>
        <w:tc>
          <w:tcPr>
            <w:tcW w:w="3575" w:type="dxa"/>
            <w:tcBorders/>
            <w:shd w:fill="CCEEFF" w:val="clear"/>
            <w:vAlign w:val="center"/>
          </w:tcPr>
          <w:p>
            <w:pPr>
              <w:pStyle w:val="TableContents"/>
              <w:bidi w:val="0"/>
              <w:spacing w:before="0" w:after="283"/>
              <w:jc w:val="left"/>
              <w:rPr>
                <w:b/>
              </w:rPr>
            </w:pPr>
            <w:r>
              <w:rPr>
                <w:b/>
              </w:rPr>
              <w:t>Total Selling and marketing</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4,392</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rPr>
            </w:pPr>
            <w:r>
              <w:rPr>
                <w:b/>
              </w:rPr>
              <w:t>1,472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11,314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4,154</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24" w:name="xdx_405_eus-gaap--GeneralAndAdministrati"/>
            <w:bookmarkEnd w:id="524"/>
          </w:p>
        </w:tc>
      </w:tr>
      <w:tr>
        <w:trPr/>
        <w:tc>
          <w:tcPr>
            <w:tcW w:w="3575" w:type="dxa"/>
            <w:tcBorders/>
            <w:shd w:fill="CCEEFF" w:val="clear"/>
            <w:vAlign w:val="center"/>
          </w:tcPr>
          <w:p>
            <w:pPr>
              <w:pStyle w:val="TableContents"/>
              <w:bidi w:val="0"/>
              <w:spacing w:before="0" w:after="283"/>
              <w:jc w:val="left"/>
              <w:rPr>
                <w:b/>
              </w:rPr>
            </w:pPr>
            <w:r>
              <w:rPr>
                <w:b/>
              </w:rPr>
              <w:t>General and administrative (G&amp;A)</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5" w:name="xdx_409_eus-gaap--EmployeeBenefitsAndSha"/>
            <w:bookmarkEnd w:id="525"/>
          </w:p>
        </w:tc>
      </w:tr>
      <w:tr>
        <w:trPr/>
        <w:tc>
          <w:tcPr>
            <w:tcW w:w="3575" w:type="dxa"/>
            <w:tcBorders/>
            <w:shd w:fill="FFFFFF" w:val="clear"/>
            <w:vAlign w:val="center"/>
          </w:tcPr>
          <w:p>
            <w:pPr>
              <w:pStyle w:val="TableContents"/>
              <w:bidi w:val="0"/>
              <w:spacing w:before="0" w:after="283"/>
              <w:jc w:val="left"/>
              <w:rPr/>
            </w:pPr>
            <w:r>
              <w:rPr/>
              <w:t>Payroll and Benefits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1,707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5,015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2,539</w:t>
            </w:r>
          </w:p>
        </w:tc>
        <w:tc>
          <w:tcPr>
            <w:tcW w:w="110" w:type="dxa"/>
            <w:tcBorders/>
            <w:shd w:fill="FFFFFF" w:val="clear"/>
            <w:vAlign w:val="center"/>
          </w:tcPr>
          <w:p>
            <w:pPr>
              <w:pStyle w:val="TableContents"/>
              <w:bidi w:val="0"/>
              <w:spacing w:before="0" w:after="283"/>
              <w:jc w:val="left"/>
              <w:rPr/>
            </w:pPr>
            <w:r>
              <w:rPr/>
              <w:t> </w:t>
            </w:r>
            <w:bookmarkStart w:id="526" w:name="xdx_40F_eus-gaap--ShareBasedCompensation"/>
            <w:bookmarkEnd w:id="526"/>
          </w:p>
        </w:tc>
      </w:tr>
      <w:tr>
        <w:trPr/>
        <w:tc>
          <w:tcPr>
            <w:tcW w:w="357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2,351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6,051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4,970</w:t>
            </w:r>
          </w:p>
        </w:tc>
        <w:tc>
          <w:tcPr>
            <w:tcW w:w="110" w:type="dxa"/>
            <w:tcBorders/>
            <w:shd w:fill="CCEEFF" w:val="clear"/>
            <w:vAlign w:val="center"/>
          </w:tcPr>
          <w:p>
            <w:pPr>
              <w:pStyle w:val="TableContents"/>
              <w:bidi w:val="0"/>
              <w:spacing w:before="0" w:after="283"/>
              <w:jc w:val="left"/>
              <w:rPr/>
            </w:pPr>
            <w:r>
              <w:rPr/>
              <w:t> </w:t>
            </w:r>
            <w:bookmarkStart w:id="527" w:name="xdx_402_eus-gaap--OtherGeneralAndAdminis"/>
            <w:bookmarkEnd w:id="527"/>
          </w:p>
        </w:tc>
      </w:tr>
      <w:tr>
        <w:trPr/>
        <w:tc>
          <w:tcPr>
            <w:tcW w:w="3575" w:type="dxa"/>
            <w:tcBorders/>
            <w:shd w:fill="FFFFFF" w:val="clear"/>
            <w:vAlign w:val="center"/>
          </w:tcPr>
          <w:p>
            <w:pPr>
              <w:pStyle w:val="TableContents"/>
              <w:bidi w:val="0"/>
              <w:spacing w:before="0" w:after="283"/>
              <w:jc w:val="left"/>
              <w:rPr/>
            </w:pPr>
            <w:r>
              <w:rPr/>
              <w:t>Other G&amp;A</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1,830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5,091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3,569</w:t>
            </w:r>
          </w:p>
        </w:tc>
        <w:tc>
          <w:tcPr>
            <w:tcW w:w="110" w:type="dxa"/>
            <w:tcBorders/>
            <w:shd w:fill="FFFFFF" w:val="clear"/>
            <w:vAlign w:val="center"/>
          </w:tcPr>
          <w:p>
            <w:pPr>
              <w:pStyle w:val="TableContents"/>
              <w:bidi w:val="0"/>
              <w:spacing w:before="0" w:after="283"/>
              <w:jc w:val="left"/>
              <w:rPr/>
            </w:pPr>
            <w:r>
              <w:rPr/>
              <w:t> </w:t>
            </w:r>
            <w:bookmarkStart w:id="528" w:name="xdx_407_eus-gaap--GeneralAndAdministrati"/>
            <w:bookmarkEnd w:id="528"/>
          </w:p>
        </w:tc>
      </w:tr>
      <w:tr>
        <w:trPr/>
        <w:tc>
          <w:tcPr>
            <w:tcW w:w="3575" w:type="dxa"/>
            <w:tcBorders/>
            <w:shd w:fill="CCEEFF" w:val="clear"/>
            <w:vAlign w:val="center"/>
          </w:tcPr>
          <w:p>
            <w:pPr>
              <w:pStyle w:val="TableContents"/>
              <w:bidi w:val="0"/>
              <w:spacing w:before="0" w:after="283"/>
              <w:jc w:val="left"/>
              <w:rPr>
                <w:b/>
              </w:rPr>
            </w:pPr>
            <w:r>
              <w:rPr>
                <w:b/>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5,888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rPr>
            </w:pPr>
            <w:r>
              <w:rPr>
                <w:b/>
              </w:rPr>
              <w:t>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16,157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11,078</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29" w:name="xdx_401_eus-gaap--NonoperatingIncomeExpe"/>
            <w:bookmarkEnd w:id="529"/>
          </w:p>
        </w:tc>
      </w:tr>
      <w:tr>
        <w:trPr/>
        <w:tc>
          <w:tcPr>
            <w:tcW w:w="3575"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343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pPr>
            <w:r>
              <w:rPr/>
              <w:t>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pPr>
            <w:r>
              <w:rPr/>
              <w:t>1,305</w:t>
            </w:r>
          </w:p>
        </w:tc>
        <w:tc>
          <w:tcPr>
            <w:tcW w:w="110" w:type="dxa"/>
            <w:tcBorders/>
            <w:shd w:fill="CCEEFF" w:val="clear"/>
            <w:vAlign w:val="center"/>
          </w:tcPr>
          <w:p>
            <w:pPr>
              <w:pStyle w:val="TableContents"/>
              <w:bidi w:val="0"/>
              <w:spacing w:before="0" w:after="283"/>
              <w:jc w:val="left"/>
              <w:rPr/>
            </w:pPr>
            <w:r>
              <w:rPr/>
              <w:t> </w:t>
            </w:r>
            <w:bookmarkStart w:id="530" w:name="xdx_40C_eus-gaap--NetIncomeLoss_pn3n3_zN"/>
            <w:bookmarkEnd w:id="530"/>
          </w:p>
        </w:tc>
      </w:tr>
      <w:tr>
        <w:trPr/>
        <w:tc>
          <w:tcPr>
            <w:tcW w:w="3575" w:type="dxa"/>
            <w:tcBorders/>
            <w:shd w:fill="FFFFFF" w:val="clear"/>
            <w:vAlign w:val="center"/>
          </w:tcPr>
          <w:p>
            <w:pPr>
              <w:pStyle w:val="TableContents"/>
              <w:bidi w:val="0"/>
              <w:spacing w:before="0" w:after="283"/>
              <w:jc w:val="left"/>
              <w:rPr/>
            </w:pPr>
            <w:r>
              <w:rPr/>
              <w:t>Segment 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bottom w:w="28" w:type="dxa"/>
            </w:tcMar>
            <w:vAlign w:val="center"/>
          </w:tcPr>
          <w:p>
            <w:pPr>
              <w:pStyle w:val="TableContents"/>
              <w:bidi w:val="0"/>
              <w:spacing w:before="0" w:after="283"/>
              <w:jc w:val="right"/>
              <w:rPr/>
            </w:pPr>
            <w:r>
              <w:rPr/>
              <w:t>(12,708</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bottom w:w="28" w:type="dxa"/>
            </w:tcMar>
            <w:vAlign w:val="center"/>
          </w:tcPr>
          <w:p>
            <w:pPr>
              <w:pStyle w:val="TableContents"/>
              <w:bidi w:val="0"/>
              <w:spacing w:before="0" w:after="283"/>
              <w:jc w:val="right"/>
              <w:rPr/>
            </w:pPr>
            <w:r>
              <w:rPr/>
              <w:t>(7,890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pPr>
            <w:r>
              <w:rPr/>
              <w:t>(37,025</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pPr>
            <w:r>
              <w:rPr/>
              <w:t>(22,831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31" w:name="xdx_8A0_zrckDZjds04j"/>
      <w:bookmarkEnd w:id="53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2" w:name="xdx_805_eus-gaap--SubsequentEventsTextBl"/>
      <w:bookmarkEnd w:id="532"/>
      <w:r>
        <w:rPr>
          <w:rFonts w:ascii="Times New Roman;Times;Serif" w:hAnsi="Times New Roman;Times;Serif"/>
          <w:b/>
          <w:i w:val="false"/>
          <w:caps w:val="false"/>
          <w:smallCaps w:val="false"/>
          <w:sz w:val="20"/>
        </w:rPr>
        <w:t xml:space="preserve">NOTE 15 – </w:t>
      </w:r>
      <w:bookmarkStart w:id="533" w:name="xdx_82E_z3D3dRaTvto6"/>
      <w:bookmarkEnd w:id="53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September 30, 2025, the Company granted an aggregate of </w:t>
      </w:r>
      <w:bookmarkStart w:id="534" w:name="xdx_909_eus-gaap--StockIssuedDuringPerio"/>
      <w:bookmarkEnd w:id="534"/>
      <w:r>
        <w:rPr>
          <w:rFonts w:ascii="Times New Roman;Times;Serif" w:hAnsi="Times New Roman;Times;Serif"/>
          <w:b w:val="false"/>
          <w:i w:val="false"/>
          <w:caps w:val="false"/>
          <w:smallCaps w:val="false"/>
          <w:sz w:val="20"/>
        </w:rPr>
        <w:t xml:space="preserve">451,853 restricted shares of the Company’s common stock to employees, directors and consultants. Of these, </w:t>
      </w:r>
      <w:bookmarkStart w:id="535" w:name="xdx_90D_eus-gaap--ShareBasedCompensation"/>
      <w:bookmarkEnd w:id="535"/>
      <w:r>
        <w:rPr>
          <w:rFonts w:ascii="Times New Roman;Times;Serif" w:hAnsi="Times New Roman;Times;Serif"/>
          <w:b w:val="false"/>
          <w:i w:val="false"/>
          <w:caps w:val="false"/>
          <w:smallCaps w:val="false"/>
          <w:sz w:val="20"/>
        </w:rPr>
        <w:t xml:space="preserve">360,185 shares of common stock granted to employees and consultants are subject to a three-year vesting period, with one-third of such awards vesting each year, </w:t>
      </w:r>
      <w:bookmarkStart w:id="536" w:name="xdx_902_eus-gaap--ShareBasedCompensation"/>
      <w:bookmarkEnd w:id="536"/>
      <w:r>
        <w:rPr>
          <w:rFonts w:ascii="Times New Roman;Times;Serif" w:hAnsi="Times New Roman;Times;Serif"/>
          <w:b w:val="false"/>
          <w:i w:val="false"/>
          <w:caps w:val="false"/>
          <w:smallCaps w:val="false"/>
          <w:sz w:val="20"/>
        </w:rPr>
        <w:t xml:space="preserve">48,000 shares of common stock granted to directors are subject to a one-year vesting period and the remaining </w:t>
      </w:r>
      <w:bookmarkStart w:id="537" w:name="xdx_906_eus-gaap--SharebasedCompensation"/>
      <w:bookmarkEnd w:id="537"/>
      <w:r>
        <w:rPr>
          <w:rFonts w:ascii="Times New Roman;Times;Serif" w:hAnsi="Times New Roman;Times;Serif"/>
          <w:b w:val="false"/>
          <w:i w:val="false"/>
          <w:caps w:val="false"/>
          <w:smallCaps w:val="false"/>
          <w:sz w:val="20"/>
        </w:rPr>
        <w:t>43,668 shares granted to a consultant are fully vested</w:t>
      </w:r>
    </w:p>
    <w:p>
      <w:pPr>
        <w:pStyle w:val="TextBody"/>
        <w:bidi w:val="0"/>
        <w:spacing w:before="0" w:after="0"/>
        <w:ind w:left="1080" w:right="0" w:hanging="0"/>
        <w:jc w:val="both"/>
        <w:rPr>
          <w:caps w:val="false"/>
          <w:smallCaps w:val="false"/>
        </w:rPr>
      </w:pPr>
      <w:bookmarkStart w:id="538" w:name="xdx_81B_zVzEUrDYzHal"/>
      <w:bookmarkEnd w:id="53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this Form 10-Q to the “Company,” “InspireMD,” “we,” “our” and “us” refer to InspireMD, Inc., a Delaware corporation,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raise additional capital to meet our business requirements in the future and such capital raising may be costly or difficult to obtain and could dilute out stockholders’ ownership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commercialization and market acceptance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clinical trial results for our products will be predictive of real-world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and maintain regulatory approvals for the sale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clinical trial results or lengthy product delays in key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Nasdaq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significant revenues from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future revenues, capital requirements and our needs for and ability to access sufficient additional financing, including any unexpected costs or delays in the ongoing commercial launch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single manufacturing facility and our ability to comply with stringent manufacturing quality standards and to increase production as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data collected from our current and planned clinical trials may not be sufficient to demonstrate that our technology is an attractive alternative to other procedures and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our industry, with competitors having substantially greater financial, technological, research and development, regulatory and clinical, manufacturing, marketing and sales, distribution and personnel resources than we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of new competitors and products and potential technological obsolescence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carry out research,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key customer or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problems with our research and products and potential product liability claims;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malfunctions;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increases for supplies and components;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access to our products is achieved in a commercially viable manner and whether our products receive adequate reimbursement by governmental and other third-party payers;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successfully obtain and maintain intellectual property protection covering our products,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security situation in Israel;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unfavorable economic and market conditions and adverse developments with respect to financial institutions and associated liquidity risk;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tariffs, trade barriers, price and exchange controls and other regulatory requirements and the impact of such policies on us, our customers and suppliers, and the global economic environment.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focusing on the development and commercialization of products for the treatment of carotid artery disease and other vascular disease, including our proprietary CGuard™ stent platform. On June 23, 2025, CGuard Prime, our next generation carotid artery stenting (“CAS”) stent platform, was granted premarket application (“PMA”) approval the U.S. Food and Drug Administration (“FDA”).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(“MDR”) regulatory framework.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we received approval from the FDA of our Investigation Device Exemption (“IDE”), thereby allowing us to proceed with a pivotal study of our CGuard™ Carotid Stent System, C-GUARDIANS, for prevention of stroke in patients in the United States. C-GUARDIANS was a prospective, multicenter, single-arm, pivotal study to evaluate the safety and efficacy of the CGuard™ Carotid Stent System when used to treat symptomatic and asymptomatic carotid artery stenosis in patients undergoing CAS. The study, which completed enrollment in June 2023, enrolled 316 patients across 24 trial sites in the U.S. and Europe and from April 2023 included deployment of the CGuard stent using CGuard Prime, our next generation CAS stent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data were used to support the PMA submission in September 2024, which was approved by the FDA on June 23, 2025. On June 12, 2025, we received CE Mark approval under the EU’s MDR for the CGuard Prime Embolic Prevention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FDA approved the Company’s IDE to initiate the CGUARDIANS II pivotal study of its CGuard Prime 80cm Carotid Stent System during transcarotid revascularization (TCAR)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Centers for Medicare and Medicaid Service (“CMS”) issued its final National Coverage Determination (“NCD”), expanding coverage for both CAS and TCAR to include both asymptomatic and standard risk patients, significantly expanding and supporting the future growth of the U.S. CAS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organized in the State of Delaware on February 29, 2008. In October 2024, we established our global headquarters in Miami, Florida to support the anticipated U.S. launch and commercialization of the CGuard Prime carotid stent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PMA approval of the CGuard Prime Carotid Stent System and Commercial Launch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the FDA granted PMA approval of the CGuard Prime Carotid Stent System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approval, in July 2025, we announced the official commercial launch of the CGuard Prime Carotid Stent System in the United States. In October 2024, we established our global headquarters in Miami, Florida to support the U.S. launch and commercialization of CGuard Prime Carotid Stent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CE Mark Approval for CGuard Prime EPS Under European MDR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we received CE Mark approval under the EU’s MDR for the CGuard Prime Embolic Prevention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Series I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PMA approval of the CGuard Prime Carotid Stent System in the United States, Series I warrants to purchase 12,914,078 shares of common stock were exercised in full into 2,352,393 of shares of common stock and pre-funded warrants to purchase 10,561,685 shares of common stock during June and July 2025. The net proceeds to the Company from the exercise of the Series I Warrants were $16.9 million after deducting placement agent fees. The Series I warrants, each exercisable at $1.3827 per common share and $1.3826 per pre-funded warrant, were issued as part of the private placement financing that the Company consummated on May 15,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entered into a securities purchase agreement with investors pursuant to which the Company issued and sold in a private placement (the “Private Placement Offering”) an aggregate of 6,791,380 shares (the “Private Placement Shares”) of common stock and pre-funded warrants (the “Pre-Funded Warrants”) to purchase up to 9,764,804 shares of common stock, at an offering price of $2.42 per Private Placement Share and $2.4199 per Pre-Funded Warrant. The Pre-Funded Warrants are immediately exercisable at an exercise price of $0.0001 per share and will not expire until exercised in full. Certain of the Company’s directors participated in the Private Placement Offering. The Private Placement Offering closed on August 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in respect of the Private Placement Offering were approximately $40.1 million, before deducting fees payable to the placement agent and other offering expenses payable by the Company. In addition, the Company paid the placement agent for the offering a placement fee equal to 6.0% of the aggregate gross proceeds from the closing of the Private Placement Offering, or approximately $2.4 million, and expense reimbursement of $75,000.</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2024. There have not been any material changes to such critical accounting policies since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our operations are conducted is the U.S. dollar (“$” or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September 30, 2025, compared to the three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three months ended September 30, 2025, revenue increased by $713,000, or 39.4%, to $2,523,000, from $1,810,000 during the three months ended September 30, 2024. Growth in the quarter was driven mainly by the commercial launch of direct sales of the CGuard Prime product in the U.S. following FDA approval in June 2025, and continued growth in sales of the CGuard product through distributors in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$490,000 increase in North America due to the official commercial launch of CGuard Prime in the U.S. following FDA approval in June 2025, and a $223,000 increase in international markets outside North America due to continued adoption of our CGuard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three months ended September 30, 2025, gross profit (revenue less cost of revenues) increased by $450,000, or 108.7%, to $864,000 from $414,000 during the three months ended September 30, 2024. This increase in gross profit resulted from a $529,000 increase in revenues, less the associated material and labor costs and was augmented by the contribution of revenue from direct sales in the U.S., which carry higher unit profit due to higher average selling price per unit, as compared to international sales through distributors. The increase in gross profit was partially offset by an increase in manufacturing and miscellaneous expenses of $79,000. Gross margin (gross profit as a percentage of revenue) increased to 34.2% during the three months ended September 30, 2025, from 22.9% during the three months ended September 30, 2024, driven by the factors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three months ended September 30, 2025, research and development expenses decreased by $280,000, or 7.2%, to $3,635,000, from $3,915,000 during the three months ended September 30, 2024. This decrease resulted primarily due to the completion of the C-GUARDIANS clinical study and related product preparation expense prior to the FDA approval of the CGuard Prime product in June 2025, partially offset by an increase in compensation expenses due to hiring of new employees in connection with our expansion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three months ended September 30, 2025, selling and marketing expenses increased by $2,920,000, or 198.4%, to $4,392,000 from $1,472,000 during the three months ended September 30, 2024. This increase resulted primarily from an increase in compensation and headcount related expenses from higher commercial staffing levels in connection with the commercial launch of CGuard Prime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three months ended September 30, 2025, general and administrative expenses increased by $2,399,000, or 68.8%, to $5,888,000, from $3,489,000 during the three months ended September 30, 2024. The increase was primarily driven by higher compensation and headcount related expenses from new hires to support the Company’s expansion of U.S. operations. General and administrative expenses were also higher due to an increase in professional services and miscellaneous expenses to support the expansion of U.S. operations following the commercial launch of CGuard Prime.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three months ended September 30, 2025, financial income decreased by $229,000 or 40.0% to $343,000, from $572,000 during the three months ended September 30, 2024. The decrease in financial income primarily resulted from a $118,000 decrease in financial income from investment in marketable securities and money market funds due to lower interest rates and a $104,000 increase in financial expenses related to changes in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three months ended September 30, 2025, there was no material change in our tax expenses as compared to the three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$4,818,000, or 61.1%, to $12,708,000, for the three months ended September 30, 2025, from $7,890,000 during the three months ended September 30, 2024. The increase in net loss resulted primarily from an increase of $5,039,000 in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Nine months ended September 30, 2025, compared to the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nine months ended September 30, 2025, revenue increased by $770,000, or 15.2%, to $5,830,000, from $5,060,000 during the nine months ended September 30, 2024. The increase was driven by the commercial launch of direct sales of the CGuard Prime product in the U.S. following FDA approval in June 2025, and continued growth in sales of the CGuard product through distributors in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$522,000 increase in North America due to the official commercial launch of CGuard Prime in the U.S. following FDA approval in June 2025, and a $248,000 increase in international markets outside North America due to continued adoption of our CGuard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nine months ended September 30, 2025, gross profit (revenue less cost of revenues) increased by $432,000, or 41.7%, to $1,469,000, compared to $1,037,000 for the same period in 2024. This increase in gross profit resulted from a $589,000 increase in revenues, less the associated material and labor costs and was augmented by the contribution of revenue from direct sales in the U.S., which carry higher unit profit due to higher average selling price per unit, as compared to international sales through distributors. The increase in gross profit was partially offset by an increase in manufacturing and miscellaneous expenses of $157,000. Gross margin (gross profit as a percentage of revenue) increased to 25.2% for the nine months ended September 30, 2025, from 20.5% for the nine months ended September 30, 2024, driven by the factors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nine months ended September 30, 2025, research and development expenses increased by 16.0%, or $1,587,000 to $11,528,000, from $9,941,000 during the nine months ended September 30, 2024. This increase resulted primarily due to an increase in compensation and headcount related expenses due to higher staff levels in connection with our expansion in the United States, and higher development and regulatory expenses for of the SwitchGuard NPS and CGuard Prime 80cm Carotid Stent System, respectively. These increases were partially offset by a decrease of expenses for the C-GUARDIANS clinical study, which was completed prior to the approval by the FDA in June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nine months ended September 30, 2025, selling and marketing expenses increased by $7,160,000, or 172.4%, to $11,314,000, from $4,154,000 during the nine months ended September 30, 2024. This increase resulted primarily from an increase in compensation and headcount related expenses from higher commercial staffing levels in connection with the commercial launch of CGuard Prime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nine months ended September 30, 2025, general and administrative expenses increased by 45.8%, or $5,079,000, to $16,157,000, from $11,078,000 during the nine months ended September 30, 2024. The increase was primarily driven higher compensation and headcount related expenses from new hires to support the Company’s expansion of U.S. operations. General and administrative expenses were also higher due to an increase in professional services and occupancy expenses related to the expansion of U.S. operations following the commercial launch of CGuard Prime.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nine months ended September 30, 2025, financial income decreased by $800,000, to $505,000 of financial income, from $1,305,000 of financial income during the nine months ended September 30, 2024. The decrease in financial income primarily resulted from a $398,000 decrease in income from investment in marketable securities and money market funds due to lower interest rates and a $393,000 increase in financial expenses related to changes in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nine months ended September 30, 2025, there was no material change in our tax expenses as compared to the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$14,194,000, or 62.2%, to $37,025,000, for the nine months ended September 30, 2025, from $22,831,000 during the nine months ended September 30, 2024. The increase in net loss resulted primarily from an increase of $13,826,000 in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an accumulated deficit as of September 30, 2025, of $291 million, as well as a net loss of $37.0 million for the nine months ended September 30, 2025 and negative operating cash flows. We expect to continue incurring losses and negative cash flows from operations until our product, CGuard Prime, reaches commercial profitability.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closed a private placement offering of 10,266,270 shares of our common stock,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 of which $35.7 million have been received as of the date of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entered into an Equity Distribution Agreement with Piper Sandler &amp; Co., as sales agent (“Piper Sandler), pursuant to which we may offer and sell, from time to time, at our option, through or to Piper Sandler up to $75,000,000 of our common stock (the “ATM Program”). As of the issuance date of this report, we have sold 920,898 shares of our common stock for total gross proceeds of approximately $2.4 million under the ATM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2024, Series H warrants to purchase 12,914,086 shares of common stock that were issued in the May 2023 private placement were exercised in full into 292,996 of shares of common stock and pre-funded warrants to purchase 12,621,090 shares of common stock. The net proceeds to the Company from the exercise of the Series H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and July 2025, Series I warrants to purchase 12,914,078 shares of common stock that were issued in the May 2023 private placement were exercised in full into 2,352,393 shares of common stock and pre-funded warrants to purchase 10,561,685 shares of common stock. The net proceeds to the Company from the exercise of the Series I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we closed the Private Placement Offering that resulted in aggregate gross proceeds of approximately $40.1 million, before deducting fees payable to the placement agent and other offering expenses payable by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Nine months ended September 30, 2025, compared to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At September 30, 2025, we had cash and cash equivalents of $63,403,000, as compared to cash and cash equivalents of $18,916,000 and marketable securities of $15,721,000 as of December 31, 2024.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used in our operating activities increased by $10,640,000, or 70.4%, to $25,758,000, from $15,118,000 during the same period in 2024. The primary reasons for the increase in cash used in our operating activities were an increase of $9,005,000 in compensation costs paid during the nine months ended September 30, 2025 (from $8,838,000 in the nine months ended September 30, 2024 to $17,843,000 in the nine months ended September 30, 2025) and an increase of $1,709,000 in payments for third party related expenses and for professional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our investing activities was $14,575,000 during the nine months ended September 30, 2025, compared to $4,399,000 during the nine months ended September 30, 2024. The primary reason for the increase in cash provided by our investing activities is withdrawal of $10,343,000, net of investment in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for the nine months ended September 30, 2025, was $55,569,000. The source of the cash provided by financing activities during the nine months ended September 30, 2025, were the proceeds from the Private Placement Offering in July 2025 as well as proceeds from issuance of shares received from our ATM Program that resulted in approximately $38,714,000 of aggregate net proceeds and proceeds from exercise of Series I warrants of $16,855,000. Cash provided by financing activities for the nine months September 30, 2024, was $16,889,000. The source of the cash provided by financing activities during the nine months ended September 30, 2024, were the proceeds from exercise of Series 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That May Affect Future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operating results will continue to be subject to quarterly variations based upon a wide variety of factors, including the market acceptance of the U.S. commercial launch,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there were no material changes to our contractual obligations and commitments since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condensed financial statements in Part I, Item 1 of this Quarterly Report on Form 10-Q for new accounting pronouncements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chief executive officer and chief financial officer concluded that our disclosure controls and procedures are effective at the reasonable assurance level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fiscal quarter ended September 30, 2025, that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and the Risk Factors included in our previous filings made with the SEC, there have been no material changes to our risk factors from those disclosed in “Part I. Item 1A. Risk Factors” in the Form 10-K filed with the SEC on March 12,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concluded that there is substantial doubt about our ability to continue as a going concern, and our condensed financial statements for the quarter ended September 30, 2025 includes an explanatory paragraph as to our ability to continue as a going concern, which could prevent us from obtaining new financing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September 30, 2025 includes an explanatory paragraph as to our potential inability to continue as a going concern. The doubts regarding our potential ability to continue as a going concern may adversely affect our ability to obtain new financing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only recently transitioned to a commercial stage medical device company in the United States, which may make it difficult for you to evaluate the success of our business to date and to assess our future viability.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launched the CGuard Prime Carotid Stent System in the United States following FDA approval in June 2025. Consequently, any predictions you make about our future success or viability may not be as accurate as they could be if we had more experience commercializing the CGuard Prime Carotid Stent System in the United States. To be profitable, we will need to successfully transition our focus to expand our commercialization capabilities through our direct sales organization and build our distribution capabilities to support the commercial launch of the CGuard Prime carotid stent system in the United State. Ultimately, we may not be successful in such a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CGuard Prime has been commercially launched in the United States and we have limited experience selling, marketing or distributing products in the U.S. The timing of uptake and distribution efforts are unpredictable and there is a risk that we may not achieve and sustain commercial success for the CGuard Prime.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announced the official commercial launch of CGuard Prime in the U.S. following FDA approval in June 2025, and we are currently executing on an independent commercialization plan for CGuard Prime in the U.S. As part of our plan, we have, and continue, to build out sales, marketing and distribution capabilities and engaged with a contract manufacturer. Historically, prior to the commencement of our commercialization activities in the U.S., we did not have experience in manufacturing, selling, marketing or distributing products in the U.S. To be able to successfully commercialize CGuard Prime, if at all, we may need to further develop our existing manufacturing, sales, marketing and distribution capabilities, which is expensive and time-consuming, or enter into arrangements with third parties to perform these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established our global headquarters in Miami, Florida to support the U.S. commercial launch of the CGuard Prime carotid stent system. During 2024, we started the build-out of the infrastructure for commercial operations in the U.S. designed to support the commercialization of the CGuard Prime carotid stent system. In addition, to support our anticipated production growth in connection with the commercialization of the CGuard Prime carotid stent system, we have engaged Aptyx Interventional Systems (“Aptyx”), a contract manufacturer that is a developer and manufacturer of complex components and devices for the life sciences, to transfer the manufacturing of CGuard Prime finished goods to full-scale production at their ISO Class 7 cleanroom facility in North Carolina.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involved in establishing our own sales, marketing and distribution capabilities and partnering with a third party manufacturer.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pStyle w:val="TextBody"/>
        <w:bidi w:val="0"/>
        <w:spacing w:before="0" w:after="0"/>
        <w:ind w:left="0" w:right="0" w:hanging="0"/>
        <w:jc w:val="center"/>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85"/>
        <w:gridCol w:w="899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retain adequate numbers of effective manufacturing, sales and marketing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or persuade physicians to use our stents;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price our products at a sufficient price point to ensure an adequate and attractive level of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difficulty of obtaining reimbursement from governmental and commercial payers;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offered by sales personnel, which may put us at a competitive disadvantage relative to companies with more extensive product lines;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and sustaining an independent manufacturing, sales and marketing 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expand our commercialization capabilities and to build our distribution capabilities to support the commercialization of the CGuard Prime carotid stent system. We expect that it will take time for this team to generate significant sales momentum, if it does so at all. We may not be successful in recruiting and retaining the manufacturing, sales and marketing personnel necessary to sell CGuard Prime, and we may not be successful in marketing CGuard Prime, which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factors that have and may continue to inhibit our efforts to successfully commercialize CGuard Prime in the United States include our ability to access key health care decision makers, price CGuard Prime at a sufficient price point to ensure an adequate and attractive level of profitability, and maintain sufficient financial resources to cover the costs and expenses associated with creating and sustaining a capable sales and marketing organization and related commercial infrastructure. If we are not successful in setting our marketing, pricing and reimbursement strategies, recruiting and maintaining effective sales and marketing personnel or building and maintaining the infrastructure to support commercial operations in the United States and elsewhere, we will have difficulty successfully commercializing CGuard Prime in the U.S. market, which would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and maintain our own manufacturing, sales, marketing and distribution capabilities or enter into successful arrangements with third parties to perform these services, our future product revenues and profitability may be materially adversely affected. If we are not successful in commercializing CGuard Prime in the United States, we may be required to collaborate or partner with a third-party medical device or biotechnology company with existing products. To the extent we collaborate or partner, the financial value will be shared with another party and we will need to establish and maintain a successful collaboration arrangement, and we may not be able to enter into these arrangements on acceptable terms or in a timely manner in order to establish CGuard Prime in the U.S. market. To the extent that we enter into co-promotion or other arrangements, any revenues we receive will depend upon the efforts of third parties, which may not be successful and are only partially in our control. In that event, our product revenues may be lower than if we marketed and sold our products directly with the highest priority, and we may be required to reduce or eliminate much of our commercial infrastructure and personnel as a result of such collaboration or partnership.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CGuard Prime, or any other product candidate that may receive marketing approval in the future, may fail to achieve the degree of market acceptance by physicians, patients, third-party payors and others in the medical community necessary for commercial success and the market opportunity for CGuard Prime or any other product candidate may be smaller than our estimates.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CGuard Prime, or any other product candidate that may be approved in the future by the appropriate regulatory authorities for marketing and sale, may fail to gain sufficient market acceptance by physicians, patients, third-party payors and others in the medical community. Physicians are often reluctant to switch their patients from existing medical devices even when new and potentially more effective or convenient products enter the market.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educate the medical community and third-party payors on the benefits of CGuard Prime over its competition have required significant resources and may not ultimately be successful. If CGuard Prime, or any other product candidate that may be approved in the future for marketing and sale in the future, does not achieve an adequate level of market acceptance, we may not generate significant revenues and we may not become profitable. The degree of market acceptance of CGuard Prime, or any other product candidate that may be approved in the future, will depend on a number of factors, including: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advantages of the product compared to competitive products;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number of competitors approved for similar uses;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relative promotional effort and marketing success of us as compared with our competitors;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how the product is positioned in physician treatment guidelines and pathways;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prevalence and severity of any side effects;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efficacy and safety of the product;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offer the product for sale at competitive prices;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product’s tolerability, consistency of performance, convenience and ease of administration compared to alternative product;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willingness of the target patient population to try, and of physicians to utilize, the product;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limitations or warnings, including use restrictions, contained in the product’s approved labeling;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strength of sales, marketing and distribution support;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timing of market introduction of our approved products as well as competitive products;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adverse publicity about the product or favorable publicity about competitive products;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potential product liability claims;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the standard of care for the targeted indications of the product; and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availability and amount of coverage and reimbursement from government payors, managed care plans and other third-party payors.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potential market opportunities for CGuard Prime and any other product are difficult to estimate precisely.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 to be inaccurate, the actual markets for our therapeutic candidate could be smaller than our estimates of the potential market opportunities.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commercial launch of CGuard Prime in the United States for which we established a direct sales organization and distribution capabilities is not successful for any reason, we could incur substantial costs and our investment in our direct sales organization and distribution capabilities would be lost if we cannot retain or reassign our sales, marketing, market access and medical affairs personnel.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commercial success for CGuard Prime in the United States, we have expended and anticipate that we will continue to expend significant resources to support our direct sales organization and distribution capabilities. There are risks involved with establishing our own sales, marketing, distribution, training and support capabilities. For example, recruiting and training sales and marketing personnel is expensive and time consuming and could delay our ability to focus on other priorities. If the commercial launch of CGuard Prime in the United States is not successful for any reason, this would be costly, and our investment would be lost if we cannot retain or reassign our sales, marketing, market access and medical affairs personnel or terminate on favorable terms any agreements entered into with third parties to support our commercialization efforts.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inhibit or limit our efforts to commercialize CGuard Prime in the United States on our own include: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train and retain adequate numbers of effective sales, marketing, training and support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including key opinion leaders, or to educate an adequate number of physicians of the benefits of CGuard Prime over alternative treatment options;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establishing and maintaining an independent sales, marketing, training and support organization.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 sales organization and distribution capabilities fail, or are otherwise unsuccessful, it would materially adversely impact the commercialization of CGuard Prime in the United States, impact our ability to generate revenue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shifts in the political, economic and military conditions in Israel and its neighbors, it could have a material adverse effect on our business operations and ability to reach profitability.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neighboring Arab countries, Hamas (an Islamist terrorist militia and political group that controls the Gaza strip), Hezbollah (an Islamist terrorist militia and political group based in Lebanon) and other terrorist organizations active in the region. These conflicts have involved missile strikes, hostile infiltrations and terrorism against civilian targets in various parts of Israel, which have negatively affected business conditions in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January 2025, Israel and Hamas entered into a ceasefire agreement, which remained in effect until March 18, 2025, when hostilities resumed. As of October 9, 2025, Israel and Hamas entered into a renewed ceasefire agreement calling for a permanent end of the war. However, there are no assurances that such as agreement will hold. While the conflict has created heightened security concerns, disruptions to business operations, and economic instability, the ceasefire may contribute to improved regional stability. However, the security situation remains fluid, and any renewed military actions, restrictions, or government-imposed measures could adversely affect our operations, supply chains,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In October 2024, Israel began limited ground operations against Hezbollah in Lebanon, and in November 2024, a ceasefire was brokered between Israel and Hezbollah, but there are no guarantees as to whether the agreement will hold or whether further hostilities will resume.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April 2024 and October 2024, Iran launched direct attacks on Israel involving hundreds of drones and missiles and has threatened to continue to attack Israel and is widely believed to be developing nuclear weapons. In June 2025, in light of continued nuclear threats and intelligence assessments indicating imminent attacks, Israel launched a preemptive strike directly targeting military and nuclear infrastructure inside Iran, aimed at disrupting Iran’s capacity to coordinate or launch further hostilities against Israel, as well as to degrade its nuclear program. In response, Iran launched multiple waves of drones and ballistic missiles at Israeli cities. While most of these attacks were intercepted, several caused civilian casualties and damage to infrastructure. While a ceasefire was reached between Israel and Iran in June 2025 after 12 days of hostilities, the situation remains volatile. A broader regional conflict involving additional state and non-state actors remains a significant risk.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all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66 full-time employees located in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 broke out on October 7, 2023, our operations have not been adversely affected by this situation.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intensity and duration of the security situation in Israel have been difficult to predict, as were the economic implications on our business and operations and on Israel’s economy in general, the ceasefire marks a potential shift towards stability in the region. If sustained, this could reduce the risk of disruptions to our business and the Israeli economy in general. However, if the war is renewed or expands to other fronts, such as Lebanon, Syria and the West Bank, our operations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including tariff and customs regulations, or failure to comply with such regulations may have an adverse effect on our reputation,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package and distribute all of our products, including the CGuard Prime carotid stent system, which we commercially launched in July 2025 following FDA approval of the PMA in June 2025, at our own facility in Israel. To support our anticipated production growth following the anticipated commercialization of the CGuard Prime carotid stent system, we have engaged Aptyx to transfer the manufacturing of CGuard Prime finished goods to full-scale production at their ISO Class 7 cleanroom facility in North Carolina. While we are in the process of establishing manufacturing operations in the United States with Aptyx, this transition will take time, and until it is operational, we expect to rely entirely on product shipments from Israel to the U.S.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has recently imposed, or is currently considering imposing, tariffs on certain products, including medical devices, on certain trade partners, including Israel.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If new tariffs are enacted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2025, no director or officer of the Company adopted or terminated a “Rule 10b5-1 trading arrangement” or a “non-Rule 10b5-1 trading arrangement” (in each case, as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3"/>
        <w:gridCol w:w="60"/>
        <w:gridCol w:w="9332"/>
      </w:tblGrid>
      <w:tr>
        <w:trPr/>
        <w:tc>
          <w:tcPr>
            <w:tcW w:w="81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through September 30, 2015 (incorporated by reference to Exhibit 3.1 to Quarterly Report on Form 10-Q filed with the Securities and Exchange Commission on May 9, 2015)</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to Current Report on Form 8-K filed with the Securities and Exchange Commission on June 29, 2021)</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May 25, 2016)</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29, 2016)</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C Convertible Preferred Stock (incorporated by reference to Exhibit 3.1 to the Current Report on Form 8-K filed on March 15, 2017)</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C Convertible Preferred Stock (incorporated by reference to Exhibit 3.1 to the Current Report on Form 8-K filed on November 29, 2017)</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B Convertible Preferred Stock (incorporated by reference to Exhibit 3.1 to the Current Report on Form 8-K filed on December 12, 2017)</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2"/>
        <w:gridCol w:w="60"/>
        <w:gridCol w:w="9473"/>
      </w:tblGrid>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February 7, 2018)</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March 28, 2019)</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3.17 to the Quarterly Report on Form 10-Q filed on May 10, 2021)</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13, 2023)</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120"/>
        <w:gridCol w:w="590"/>
        <w:gridCol w:w="3650"/>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42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Marvin Slosman,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caps w:val="false"/>
          <w:smallCaps w:val="false"/>
        </w:rPr>
      </w:pPr>
      <w:bookmarkStart w:id="539" w:name="ex31-1.htm"/>
      <w:bookmarkStart w:id="540" w:name="ksex311"/>
      <w:bookmarkEnd w:id="539"/>
      <w:bookmarkEnd w:id="5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Marvin Slosman,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120"/>
        <w:gridCol w:w="2360"/>
      </w:tblGrid>
      <w:tr>
        <w:trPr/>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1" w:name="ex31-2.htm"/>
      <w:bookmarkStart w:id="542" w:name="ksex312"/>
      <w:bookmarkEnd w:id="541"/>
      <w:bookmarkEnd w:id="5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Lawless,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120"/>
        <w:gridCol w:w="365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3" w:name="ex32-1.htm"/>
      <w:bookmarkStart w:id="544" w:name="ksex321"/>
      <w:bookmarkEnd w:id="543"/>
      <w:bookmarkEnd w:id="5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September 30, 2025 as filed with the Securities and Exchange Commission on the date hereof (the “Report”), I, Marvin Slosman, Chief Executive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2120"/>
        <w:gridCol w:w="590"/>
        <w:gridCol w:w="2360"/>
      </w:tblGrid>
      <w:tr>
        <w:trPr/>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5" w:name="ex32-2.htm"/>
      <w:bookmarkStart w:id="546" w:name="ksex322"/>
      <w:bookmarkEnd w:id="545"/>
      <w:bookmarkEnd w:id="5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September 30, 2025 as filed with the Securities and Exchange Commission on the date hereof (the “Report”), I, Michael Lawless, Chief Financial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120"/>
        <w:gridCol w:w="590"/>
        <w:gridCol w:w="3650"/>
      </w:tblGrid>
      <w:tr>
        <w:trPr/>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607/000161577415003178/s102096_ex3-1.htm" TargetMode="External"/><Relationship Id="rId3" Type="http://schemas.openxmlformats.org/officeDocument/2006/relationships/hyperlink" Target="https://www.sec.gov/Archives/edgar/data/1433607/000149315221015545/ex3-2.htm" TargetMode="External"/><Relationship Id="rId4" Type="http://schemas.openxmlformats.org/officeDocument/2006/relationships/hyperlink" Target="https://www.sec.gov/Archives/edgar/data/1433607/000161577416005628/s103343_ex3-1.htm" TargetMode="External"/><Relationship Id="rId5" Type="http://schemas.openxmlformats.org/officeDocument/2006/relationships/hyperlink" Target="https://www.sec.gov/Archives/edgar/data/1433607/000149315216013705/ex3-1.htm" TargetMode="External"/><Relationship Id="rId6" Type="http://schemas.openxmlformats.org/officeDocument/2006/relationships/hyperlink" Target="https://www.sec.gov/Archives/edgar/data/1433607/000149315217002455/ex3-1.htm" TargetMode="External"/><Relationship Id="rId7" Type="http://schemas.openxmlformats.org/officeDocument/2006/relationships/hyperlink" Target="https://www.sec.gov/Archives/edgar/data/1433607/000149315217013917/ex3-1.htm" TargetMode="External"/><Relationship Id="rId8" Type="http://schemas.openxmlformats.org/officeDocument/2006/relationships/hyperlink" Target="https://www.sec.gov/Archives/edgar/data/1433607/000149315217014515/ex3-1.htm" TargetMode="External"/><Relationship Id="rId9" Type="http://schemas.openxmlformats.org/officeDocument/2006/relationships/hyperlink" Target="https://www.sec.gov/Archives/edgar/data/1433607/000149315218001617/ex3-1.htm" TargetMode="External"/><Relationship Id="rId10" Type="http://schemas.openxmlformats.org/officeDocument/2006/relationships/hyperlink" Target="https://www.sec.gov/Archives/edgar/data/1433607/000149315219004101/ex3-1.htm" TargetMode="External"/><Relationship Id="rId11" Type="http://schemas.openxmlformats.org/officeDocument/2006/relationships/hyperlink" Target="https://www.sec.gov/Archives/edgar/data/1433607/000149315221010881/ex3-17.htm" TargetMode="External"/><Relationship Id="rId12" Type="http://schemas.openxmlformats.org/officeDocument/2006/relationships/hyperlink" Target="https://www.sec.gov/Archives/edgar/data/1433607/000149315223032486/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16838</Words>
  <Characters>93226</Characters>
  <CharactersWithSpaces>111782</CharactersWithSpaces>
  <Paragraphs>4946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